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55" w:type="dxa"/>
        <w:tblInd w:w="392" w:type="dxa"/>
        <w:tblLayout w:type="fixed"/>
        <w:tblCellMar>
          <w:top w:w="0" w:type="dxa"/>
          <w:left w:w="108" w:type="dxa"/>
          <w:bottom w:w="0" w:type="dxa"/>
          <w:right w:w="108" w:type="dxa"/>
        </w:tblCellMar>
      </w:tblPr>
      <w:tblGrid>
        <w:gridCol w:w="457"/>
        <w:gridCol w:w="2143"/>
        <w:gridCol w:w="4197"/>
        <w:gridCol w:w="1760"/>
        <w:gridCol w:w="1760"/>
        <w:gridCol w:w="1760"/>
        <w:gridCol w:w="1100"/>
        <w:gridCol w:w="1978"/>
      </w:tblGrid>
      <w:tr>
        <w:tblPrEx>
          <w:tblCellMar>
            <w:top w:w="0" w:type="dxa"/>
            <w:left w:w="108" w:type="dxa"/>
            <w:bottom w:w="0" w:type="dxa"/>
            <w:right w:w="108" w:type="dxa"/>
          </w:tblCellMar>
        </w:tblPrEx>
        <w:trPr>
          <w:trHeight w:val="570" w:hRule="atLeast"/>
        </w:trPr>
        <w:tc>
          <w:tcPr>
            <w:tcW w:w="15155" w:type="dxa"/>
            <w:gridSpan w:val="8"/>
            <w:tcBorders>
              <w:top w:val="nil"/>
              <w:left w:val="nil"/>
              <w:bottom w:val="single" w:color="auto" w:sz="4" w:space="0"/>
              <w:right w:val="nil"/>
            </w:tcBorders>
            <w:vAlign w:val="center"/>
          </w:tcPr>
          <w:p>
            <w:pPr>
              <w:widowControl/>
              <w:jc w:val="center"/>
              <w:rPr>
                <w:rFonts w:ascii="宋体" w:hAnsi="宋体"/>
                <w:b/>
                <w:bCs/>
                <w:color w:val="000000"/>
                <w:kern w:val="0"/>
              </w:rPr>
            </w:pPr>
            <w:r>
              <w:rPr>
                <w:rFonts w:hint="eastAsia" w:ascii="宋体" w:hAnsi="宋体"/>
                <w:b/>
                <w:bCs/>
                <w:color w:val="000000"/>
                <w:kern w:val="0"/>
              </w:rPr>
              <w:t>竞争性选商最低价评审法评分表（否决项+商务部分）</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 xml:space="preserve"> 2022年空气呼吸器</w:t>
            </w:r>
            <w:r>
              <w:rPr>
                <w:rFonts w:hint="eastAsia" w:ascii="宋体" w:hAnsi="宋体"/>
                <w:b/>
                <w:bCs/>
                <w:color w:val="000000"/>
                <w:kern w:val="0"/>
                <w:sz w:val="22"/>
                <w:szCs w:val="22"/>
                <w:lang w:val="en-US" w:eastAsia="zh-CN"/>
              </w:rPr>
              <w:t>技术性检测</w:t>
            </w:r>
            <w:r>
              <w:rPr>
                <w:rFonts w:hint="eastAsia" w:ascii="宋体" w:hAnsi="宋体"/>
                <w:b/>
                <w:bCs/>
                <w:color w:val="000000"/>
                <w:kern w:val="0"/>
                <w:sz w:val="22"/>
                <w:szCs w:val="22"/>
              </w:rPr>
              <w:t xml:space="preserve">                       评审人签名：</w:t>
            </w:r>
          </w:p>
        </w:tc>
      </w:tr>
      <w:tr>
        <w:tblPrEx>
          <w:tblCellMar>
            <w:top w:w="0" w:type="dxa"/>
            <w:left w:w="108" w:type="dxa"/>
            <w:bottom w:w="0" w:type="dxa"/>
            <w:right w:w="108" w:type="dxa"/>
          </w:tblCellMar>
        </w:tblPrEx>
        <w:trPr>
          <w:trHeight w:val="555"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22"/>
                <w:szCs w:val="22"/>
              </w:rPr>
            </w:pPr>
            <w:r>
              <w:rPr>
                <w:rFonts w:hint="eastAsia" w:ascii="宋体" w:hAnsi="宋体"/>
                <w:b/>
                <w:bCs/>
                <w:color w:val="000000"/>
                <w:kern w:val="0"/>
                <w:sz w:val="22"/>
                <w:szCs w:val="22"/>
              </w:rPr>
              <w:t>一、否决项（出现任何一项不符合项，即否决，不得参加评审）</w:t>
            </w:r>
          </w:p>
        </w:tc>
      </w:tr>
      <w:tr>
        <w:tblPrEx>
          <w:tblCellMar>
            <w:top w:w="0" w:type="dxa"/>
            <w:left w:w="108" w:type="dxa"/>
            <w:bottom w:w="0" w:type="dxa"/>
            <w:right w:w="108" w:type="dxa"/>
          </w:tblCellMar>
        </w:tblPrEx>
        <w:trPr>
          <w:trHeight w:val="555" w:hRule="atLeast"/>
        </w:trPr>
        <w:tc>
          <w:tcPr>
            <w:tcW w:w="45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序号</w:t>
            </w:r>
          </w:p>
        </w:tc>
        <w:tc>
          <w:tcPr>
            <w:tcW w:w="21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评分项目</w:t>
            </w:r>
          </w:p>
        </w:tc>
        <w:tc>
          <w:tcPr>
            <w:tcW w:w="419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是否符合</w:t>
            </w:r>
          </w:p>
        </w:tc>
        <w:tc>
          <w:tcPr>
            <w:tcW w:w="307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kern w:val="0"/>
              </w:rPr>
            </w:pPr>
            <w:r>
              <w:rPr>
                <w:rFonts w:hint="eastAsia" w:ascii="宋体" w:hAnsi="宋体"/>
                <w:b/>
                <w:bCs/>
                <w:color w:val="000000"/>
                <w:kern w:val="0"/>
              </w:rPr>
              <w:t>备注</w:t>
            </w:r>
          </w:p>
        </w:tc>
      </w:tr>
      <w:tr>
        <w:tblPrEx>
          <w:tblCellMar>
            <w:top w:w="0" w:type="dxa"/>
            <w:left w:w="108" w:type="dxa"/>
            <w:bottom w:w="0" w:type="dxa"/>
            <w:right w:w="108" w:type="dxa"/>
          </w:tblCellMar>
        </w:tblPrEx>
        <w:trPr>
          <w:trHeight w:val="43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lang w:eastAsia="zh-CN"/>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b/>
                <w:bCs/>
                <w:color w:val="000000" w:themeColor="text1"/>
                <w:kern w:val="0"/>
                <w:lang w:eastAsia="zh-CN"/>
                <w14:textFill>
                  <w14:solidFill>
                    <w14:schemeClr w14:val="tx1"/>
                  </w14:solidFill>
                </w14:textFill>
              </w:rPr>
            </w:pPr>
          </w:p>
          <w:p>
            <w:pPr>
              <w:widowControl/>
              <w:jc w:val="center"/>
              <w:rPr>
                <w:rFonts w:hint="eastAsia" w:ascii="宋体" w:hAnsi="宋体" w:eastAsia="宋体"/>
                <w:b/>
                <w:bCs/>
                <w:color w:val="000000" w:themeColor="text1"/>
                <w:kern w:val="0"/>
                <w:lang w:eastAsia="zh-CN"/>
                <w14:textFill>
                  <w14:solidFill>
                    <w14:schemeClr w14:val="tx1"/>
                  </w14:solidFill>
                </w14:textFill>
              </w:rPr>
            </w:pPr>
          </w:p>
        </w:tc>
        <w:tc>
          <w:tcPr>
            <w:tcW w:w="30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rPr>
            </w:pPr>
          </w:p>
        </w:tc>
      </w:tr>
      <w:tr>
        <w:tblPrEx>
          <w:tblCellMar>
            <w:top w:w="0" w:type="dxa"/>
            <w:left w:w="108" w:type="dxa"/>
            <w:bottom w:w="0" w:type="dxa"/>
            <w:right w:w="108" w:type="dxa"/>
          </w:tblCellMar>
        </w:tblPrEx>
        <w:trPr>
          <w:trHeight w:val="142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响应文件密封并及时送达</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响应文件密封并且未损坏，响应文件在响应有效期限内送达</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《竞争性选商响应文件寄（送）达记录》由经办人在送达时点即时记录，评审时现场出示</w:t>
            </w:r>
          </w:p>
        </w:tc>
      </w:tr>
      <w:tr>
        <w:tblPrEx>
          <w:tblCellMar>
            <w:top w:w="0" w:type="dxa"/>
            <w:left w:w="108" w:type="dxa"/>
            <w:bottom w:w="0" w:type="dxa"/>
            <w:right w:w="108" w:type="dxa"/>
          </w:tblCellMar>
        </w:tblPrEx>
        <w:trPr>
          <w:trHeight w:val="208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营业执照、行业许可证书或资质证书</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按竞争性选商文件要求提供在有效期及经营范围或许可范围内的营业执照、经营许可或行业许可证书或资格、资质证书和员工资格、资质证书或操作证书的，并且所提供的资料及信息符合要求、为有效资料的；其中:分公司须出具其总部授权其参加竞争性选商的委托书</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64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证书、资料等真实有效</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响应人声明情况属实，提供的证书、资料等没有弄虚作假</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84"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严重过违法违规受到行政处罚和过错责任引发诉讼</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没有因严重违法违规行为受到行政处罚或因存在严重违约、失信等过错责任引发诉讼的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36"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未被“信用中国”、“国家企业信用信息公司系统”等信用信息共享平台列入严重违法失信企业名单、失信人执行名单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32"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6</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没有在最近三年内因违法违规行为造成较大社会影响或被政府部门、行业组织等列入“黑名单”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default" w:ascii="宋体" w:hAnsi="宋体"/>
                <w:color w:val="000000"/>
                <w:kern w:val="0"/>
                <w:lang w:val="en-US"/>
              </w:rPr>
              <w:t>7</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严重失信情况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没有因在中石化总部及其分子公司选商和签订、履行合同时严重违约违规等而被列入“黑名单”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696"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8</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themeColor="text1"/>
                <w:kern w:val="0"/>
                <w:sz w:val="22"/>
                <w:szCs w:val="22"/>
                <w14:textFill>
                  <w14:solidFill>
                    <w14:schemeClr w14:val="tx1"/>
                  </w14:solidFill>
                </w14:textFill>
              </w:rPr>
              <w:t>一般违法违规及失信情况</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highlight w:val="yellow"/>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近三年内一般违法违规及失信的数量较少，且经分析和评审认为不存在很大的合作风险</w:t>
            </w:r>
            <w:r>
              <w:rPr>
                <w:rFonts w:hint="eastAsia" w:ascii="宋体" w:hAnsi="宋体"/>
                <w:color w:val="000000" w:themeColor="text1"/>
                <w:kern w:val="0"/>
                <w:sz w:val="22"/>
                <w:szCs w:val="22"/>
                <w14:textFill>
                  <w14:solidFill>
                    <w14:schemeClr w14:val="tx1"/>
                  </w14:solidFill>
                </w14:textFill>
              </w:rPr>
              <w:t xml:space="preserve">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p>
        </w:tc>
      </w:tr>
      <w:tr>
        <w:tblPrEx>
          <w:tblCellMar>
            <w:top w:w="0" w:type="dxa"/>
            <w:left w:w="108" w:type="dxa"/>
            <w:bottom w:w="0" w:type="dxa"/>
            <w:right w:w="108" w:type="dxa"/>
          </w:tblCellMar>
        </w:tblPrEx>
        <w:trPr>
          <w:trHeight w:val="120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default" w:ascii="宋体" w:hAnsi="宋体"/>
                <w:color w:val="000000"/>
                <w:kern w:val="0"/>
                <w:sz w:val="22"/>
                <w:szCs w:val="22"/>
                <w:lang w:val="en-US"/>
              </w:rPr>
              <w:t>9</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虚假竞争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未发生负责人为同一人的不同响应人或者存在控股、管理等关联关系的不同响应人，对同一标段或者未划分标段的同一竞争性选商业务进行响应的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972"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0</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违法违规的响应</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未发生响应人有以他人的名义响应、串通响应、以行贿手段谋取成交或以其他弄虚作假方式响应的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1548"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w:t>
            </w:r>
            <w:r>
              <w:rPr>
                <w:rFonts w:hint="default" w:ascii="宋体" w:hAnsi="宋体"/>
                <w:color w:val="000000"/>
                <w:kern w:val="0"/>
                <w:sz w:val="22"/>
                <w:szCs w:val="22"/>
                <w:lang w:val="en-US"/>
              </w:rPr>
              <w:t>1</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恶性竞争</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响应人的报价明显低于其他响应人报价的或低于经测算已设定的底价，谈判小组要求其澄清时，该响应人不能合理说明或者不能提供相关证明材料，谈判小组认定该响应为恶性竞争行为的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　</w:t>
            </w:r>
          </w:p>
        </w:tc>
      </w:tr>
      <w:tr>
        <w:tblPrEx>
          <w:tblCellMar>
            <w:top w:w="0" w:type="dxa"/>
            <w:left w:w="108" w:type="dxa"/>
            <w:bottom w:w="0" w:type="dxa"/>
            <w:right w:w="108" w:type="dxa"/>
          </w:tblCellMar>
        </w:tblPrEx>
        <w:trPr>
          <w:trHeight w:val="768"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2</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响应文件与竞争性选商文件重大偏差</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响应文件不存在重大偏差（重大偏差是指：未对竞争性谈判文件的实质性要求和条件作出有效响应，包括A 按照竞争性谈判文件要求全面做出响应保证或做出的响应保证有较大瑕疵的；B 响应文件未经响应人盖章和响应人法定代表人（或授权委托人）签字，或虽有授权委托人签字，但授权委托书上无法定代表人签字的；C 响应文件载明的竞争性谈判业务完成期限超过了竞争性谈判文件规定期限的；D 明显不符合技术规格、技术标准要求的；E 响应文件载明的货物包装方式、检验标准和方法等不符合竞争性谈判文件要求的；F 响应文件中另行附有竞争性谈判邀请人不能接受的条件的；G 不符合竞争性谈判文件中规定的其他实质性要求的）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684" w:hRule="atLeast"/>
        </w:trPr>
        <w:tc>
          <w:tcPr>
            <w:tcW w:w="4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rPr>
            </w:pPr>
            <w:r>
              <w:rPr>
                <w:rFonts w:hint="eastAsia" w:ascii="宋体" w:hAnsi="宋体"/>
                <w:color w:val="000000"/>
                <w:kern w:val="0"/>
              </w:rPr>
              <w:t>1</w:t>
            </w:r>
            <w:r>
              <w:rPr>
                <w:rFonts w:hint="default" w:ascii="宋体" w:hAnsi="宋体"/>
                <w:color w:val="000000"/>
                <w:kern w:val="0"/>
                <w:lang w:val="en-US"/>
              </w:rPr>
              <w:t>3</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澄清、说明或者补正</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应按照要求对响应文件进行澄清、说明或者补正的</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72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14</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其它</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hint="eastAsia"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省市场监督管理局颁发的检验检测机构资质认定证书（</w:t>
            </w:r>
            <w:r>
              <w:rPr>
                <w:rFonts w:hint="default" w:ascii="宋体" w:hAnsi="宋体"/>
                <w:color w:val="000000" w:themeColor="text1"/>
                <w:kern w:val="0"/>
                <w:sz w:val="22"/>
                <w:szCs w:val="22"/>
                <w:lang w:val="en-US" w:eastAsia="zh-CN"/>
                <w14:textFill>
                  <w14:solidFill>
                    <w14:schemeClr w14:val="tx1"/>
                  </w14:solidFill>
                </w14:textFill>
              </w:rPr>
              <w:t>CMA</w:t>
            </w:r>
            <w:r>
              <w:rPr>
                <w:rFonts w:hint="eastAsia" w:ascii="宋体" w:hAnsi="宋体"/>
                <w:color w:val="000000" w:themeColor="text1"/>
                <w:kern w:val="0"/>
                <w:sz w:val="22"/>
                <w:szCs w:val="22"/>
                <w:lang w:val="en-US" w:eastAsia="zh-CN"/>
                <w14:textFill>
                  <w14:solidFill>
                    <w14:schemeClr w14:val="tx1"/>
                  </w14:solidFill>
                </w14:textFill>
              </w:rPr>
              <w:t>资质认定证书），其检验检测能力和授权签字人在证书附表有所体现。</w:t>
            </w:r>
          </w:p>
          <w:p>
            <w:pPr>
              <w:widowControl/>
              <w:numPr>
                <w:ilvl w:val="0"/>
                <w:numId w:val="1"/>
              </w:numPr>
              <w:jc w:val="left"/>
              <w:rPr>
                <w:rFonts w:hint="default"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检测公司需具备相应的检验检测人员并持有相应证书（</w:t>
            </w:r>
            <w:r>
              <w:rPr>
                <w:rFonts w:hint="default" w:ascii="宋体" w:hAnsi="宋体"/>
                <w:color w:val="000000" w:themeColor="text1"/>
                <w:kern w:val="0"/>
                <w:sz w:val="22"/>
                <w:szCs w:val="22"/>
                <w:lang w:val="en-US" w:eastAsia="zh-CN"/>
                <w14:textFill>
                  <w14:solidFill>
                    <w14:schemeClr w14:val="tx1"/>
                  </w14:solidFill>
                </w14:textFill>
              </w:rPr>
              <w:t>1</w:t>
            </w:r>
            <w:r>
              <w:rPr>
                <w:rFonts w:hint="eastAsia" w:ascii="宋体" w:hAnsi="宋体"/>
                <w:color w:val="000000" w:themeColor="text1"/>
                <w:kern w:val="0"/>
                <w:sz w:val="22"/>
                <w:szCs w:val="22"/>
                <w:lang w:val="en-US" w:eastAsia="zh-CN"/>
                <w14:textFill>
                  <w14:solidFill>
                    <w14:schemeClr w14:val="tx1"/>
                  </w14:solidFill>
                </w14:textFill>
              </w:rPr>
              <w:t>、特种设备检验专业的高级工程师，</w:t>
            </w:r>
            <w:r>
              <w:rPr>
                <w:rFonts w:hint="default" w:ascii="宋体" w:hAnsi="宋体"/>
                <w:color w:val="000000" w:themeColor="text1"/>
                <w:kern w:val="0"/>
                <w:sz w:val="22"/>
                <w:szCs w:val="22"/>
                <w:lang w:val="en-US" w:eastAsia="zh-CN"/>
                <w14:textFill>
                  <w14:solidFill>
                    <w14:schemeClr w14:val="tx1"/>
                  </w14:solidFill>
                </w14:textFill>
              </w:rPr>
              <w:t>2</w:t>
            </w:r>
            <w:r>
              <w:rPr>
                <w:rFonts w:hint="eastAsia" w:ascii="宋体" w:hAnsi="宋体"/>
                <w:color w:val="000000" w:themeColor="text1"/>
                <w:kern w:val="0"/>
                <w:sz w:val="22"/>
                <w:szCs w:val="22"/>
                <w:lang w:val="en-US" w:eastAsia="zh-CN"/>
                <w14:textFill>
                  <w14:solidFill>
                    <w14:schemeClr w14:val="tx1"/>
                  </w14:solidFill>
                </w14:textFill>
              </w:rPr>
              <w:t>、压力容器检验师</w:t>
            </w:r>
            <w:r>
              <w:rPr>
                <w:rFonts w:hint="default" w:ascii="宋体" w:hAnsi="宋体"/>
                <w:color w:val="000000" w:themeColor="text1"/>
                <w:kern w:val="0"/>
                <w:sz w:val="22"/>
                <w:szCs w:val="22"/>
                <w:lang w:val="en-US" w:eastAsia="zh-CN"/>
                <w14:textFill>
                  <w14:solidFill>
                    <w14:schemeClr w14:val="tx1"/>
                  </w14:solidFill>
                </w14:textFill>
              </w:rPr>
              <w:t>3</w:t>
            </w:r>
            <w:r>
              <w:rPr>
                <w:rFonts w:hint="eastAsia" w:ascii="宋体" w:hAnsi="宋体"/>
                <w:color w:val="000000" w:themeColor="text1"/>
                <w:kern w:val="0"/>
                <w:sz w:val="22"/>
                <w:szCs w:val="22"/>
                <w:lang w:val="en-US" w:eastAsia="zh-CN"/>
                <w14:textFill>
                  <w14:solidFill>
                    <w14:schemeClr w14:val="tx1"/>
                  </w14:solidFill>
                </w14:textFill>
              </w:rPr>
              <w:t>、特种设备安全管理人员，以上特种设备检验员必须注册在公司名下）。</w:t>
            </w:r>
          </w:p>
          <w:p>
            <w:pPr>
              <w:widowControl/>
              <w:numPr>
                <w:ilvl w:val="0"/>
                <w:numId w:val="1"/>
              </w:numPr>
              <w:jc w:val="left"/>
              <w:rPr>
                <w:rFonts w:hint="default" w:ascii="宋体" w:hAnsi="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持有有效的质量、环境、职业健康安全管理体系认证证书。</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15</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报价唯一性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商务标报价符合邀请文件格式要求，且只能有一个有效报价</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olor w:val="000000"/>
                <w:kern w:val="0"/>
                <w:sz w:val="22"/>
                <w:szCs w:val="22"/>
                <w:lang w:val="en-US"/>
              </w:rPr>
            </w:pPr>
            <w:r>
              <w:rPr>
                <w:rFonts w:hint="default" w:ascii="宋体" w:hAnsi="宋体"/>
                <w:color w:val="000000"/>
                <w:kern w:val="0"/>
                <w:sz w:val="22"/>
                <w:szCs w:val="22"/>
                <w:lang w:val="en-US"/>
              </w:rPr>
              <w:t>16</w:t>
            </w:r>
            <w:bookmarkStart w:id="0" w:name="_GoBack"/>
            <w:bookmarkEnd w:id="0"/>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报价有效性</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报价未超过方案中设定的最高限价（最高限价计算方法）</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highlight w:val="yellow"/>
              </w:rPr>
            </w:pPr>
          </w:p>
        </w:tc>
      </w:tr>
      <w:tr>
        <w:tblPrEx>
          <w:tblCellMar>
            <w:top w:w="0" w:type="dxa"/>
            <w:left w:w="108" w:type="dxa"/>
            <w:bottom w:w="0" w:type="dxa"/>
            <w:right w:w="108" w:type="dxa"/>
          </w:tblCellMar>
        </w:tblPrEx>
        <w:trPr>
          <w:trHeight w:val="840" w:hRule="atLeast"/>
        </w:trPr>
        <w:tc>
          <w:tcPr>
            <w:tcW w:w="4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22"/>
                <w:szCs w:val="22"/>
              </w:rPr>
            </w:pP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22"/>
                <w:szCs w:val="22"/>
              </w:rPr>
            </w:pPr>
          </w:p>
        </w:tc>
        <w:tc>
          <w:tcPr>
            <w:tcW w:w="307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b/>
                <w:bCs/>
                <w:i/>
                <w:iCs/>
                <w:color w:val="FF0000"/>
                <w:kern w:val="0"/>
                <w:sz w:val="22"/>
                <w:szCs w:val="22"/>
                <w:highlight w:val="yellow"/>
              </w:rPr>
            </w:pPr>
          </w:p>
        </w:tc>
      </w:tr>
      <w:tr>
        <w:tblPrEx>
          <w:tblCellMar>
            <w:top w:w="0" w:type="dxa"/>
            <w:left w:w="108" w:type="dxa"/>
            <w:bottom w:w="0" w:type="dxa"/>
            <w:right w:w="108" w:type="dxa"/>
          </w:tblCellMar>
        </w:tblPrEx>
        <w:trPr>
          <w:trHeight w:val="840" w:hRule="atLeast"/>
        </w:trPr>
        <w:tc>
          <w:tcPr>
            <w:tcW w:w="1515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jc w:val="left"/>
              <w:rPr>
                <w:rFonts w:hint="eastAsia" w:ascii="宋体" w:hAnsi="宋体"/>
                <w:b/>
                <w:bCs/>
                <w:color w:val="000000"/>
                <w:kern w:val="0"/>
                <w:sz w:val="22"/>
                <w:szCs w:val="22"/>
              </w:rPr>
            </w:pPr>
          </w:p>
          <w:p>
            <w:pPr>
              <w:widowControl/>
              <w:numPr>
                <w:ilvl w:val="0"/>
                <w:numId w:val="2"/>
              </w:numPr>
              <w:jc w:val="left"/>
              <w:rPr>
                <w:rFonts w:hint="eastAsia" w:ascii="宋体" w:hAnsi="宋体"/>
                <w:b/>
                <w:bCs/>
                <w:color w:val="000000"/>
                <w:kern w:val="0"/>
                <w:sz w:val="22"/>
                <w:szCs w:val="22"/>
              </w:rPr>
            </w:pPr>
            <w:r>
              <w:rPr>
                <w:rFonts w:hint="eastAsia" w:ascii="宋体" w:hAnsi="宋体"/>
                <w:b/>
                <w:bCs/>
                <w:color w:val="000000"/>
                <w:kern w:val="0"/>
                <w:sz w:val="22"/>
                <w:szCs w:val="22"/>
              </w:rPr>
              <w:t>商务部分评分项：权重</w:t>
            </w:r>
            <w:r>
              <w:rPr>
                <w:rFonts w:hint="eastAsia" w:ascii="宋体" w:hAnsi="宋体"/>
                <w:b/>
                <w:bCs/>
                <w:kern w:val="0"/>
                <w:sz w:val="22"/>
                <w:szCs w:val="22"/>
              </w:rPr>
              <w:t>100%（</w:t>
            </w:r>
            <w:r>
              <w:rPr>
                <w:rFonts w:hint="eastAsia" w:ascii="宋体" w:hAnsi="宋体"/>
                <w:b/>
                <w:bCs/>
                <w:color w:val="000000"/>
                <w:kern w:val="0"/>
                <w:sz w:val="22"/>
                <w:szCs w:val="22"/>
              </w:rPr>
              <w:t>若有分项报价的，应按总价进行评审打分）</w:t>
            </w:r>
          </w:p>
          <w:p>
            <w:pPr>
              <w:widowControl/>
              <w:numPr>
                <w:numId w:val="0"/>
              </w:numPr>
              <w:jc w:val="left"/>
              <w:rPr>
                <w:rFonts w:hint="eastAsia" w:ascii="宋体" w:hAnsi="宋体"/>
                <w:b/>
                <w:bCs/>
                <w:color w:val="000000"/>
                <w:kern w:val="0"/>
                <w:sz w:val="22"/>
                <w:szCs w:val="22"/>
              </w:rPr>
            </w:pPr>
          </w:p>
        </w:tc>
      </w:tr>
      <w:tr>
        <w:tblPrEx>
          <w:tblCellMar>
            <w:top w:w="0" w:type="dxa"/>
            <w:left w:w="108" w:type="dxa"/>
            <w:bottom w:w="0" w:type="dxa"/>
            <w:right w:w="108" w:type="dxa"/>
          </w:tblCellMar>
        </w:tblPrEx>
        <w:trPr>
          <w:trHeight w:val="465"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序号</w:t>
            </w:r>
          </w:p>
        </w:tc>
        <w:tc>
          <w:tcPr>
            <w:tcW w:w="21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评分项目</w:t>
            </w:r>
          </w:p>
        </w:tc>
        <w:tc>
          <w:tcPr>
            <w:tcW w:w="41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评分标准</w:t>
            </w:r>
          </w:p>
        </w:tc>
        <w:tc>
          <w:tcPr>
            <w:tcW w:w="528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rPr>
            </w:pPr>
            <w:r>
              <w:rPr>
                <w:rFonts w:hint="eastAsia" w:ascii="宋体" w:hAnsi="宋体"/>
                <w:b/>
                <w:bCs/>
                <w:kern w:val="0"/>
              </w:rPr>
              <w:t>实际得分</w:t>
            </w:r>
          </w:p>
        </w:tc>
        <w:tc>
          <w:tcPr>
            <w:tcW w:w="11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标准分</w:t>
            </w:r>
          </w:p>
        </w:tc>
        <w:tc>
          <w:tcPr>
            <w:tcW w:w="19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kern w:val="0"/>
                <w:sz w:val="22"/>
                <w:szCs w:val="22"/>
              </w:rPr>
            </w:pPr>
            <w:r>
              <w:rPr>
                <w:rFonts w:hint="eastAsia" w:ascii="宋体" w:hAnsi="宋体"/>
                <w:b/>
                <w:bCs/>
                <w:color w:val="000000"/>
                <w:kern w:val="0"/>
                <w:sz w:val="22"/>
                <w:szCs w:val="22"/>
              </w:rPr>
              <w:t>备注</w:t>
            </w:r>
          </w:p>
        </w:tc>
      </w:tr>
      <w:tr>
        <w:tblPrEx>
          <w:tblCellMar>
            <w:top w:w="0" w:type="dxa"/>
            <w:left w:w="108" w:type="dxa"/>
            <w:bottom w:w="0" w:type="dxa"/>
            <w:right w:w="108" w:type="dxa"/>
          </w:tblCellMar>
        </w:tblPrEx>
        <w:trPr>
          <w:trHeight w:val="675"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2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41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color w:val="000000" w:themeColor="text1"/>
                <w:kern w:val="0"/>
                <w14:textFill>
                  <w14:solidFill>
                    <w14:schemeClr w14:val="tx1"/>
                  </w14:solidFill>
                </w14:textFill>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c>
          <w:tcPr>
            <w:tcW w:w="1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b/>
                <w:bCs/>
                <w:color w:val="000000"/>
                <w:kern w:val="0"/>
                <w:sz w:val="22"/>
                <w:szCs w:val="22"/>
              </w:rPr>
            </w:pPr>
          </w:p>
        </w:tc>
      </w:tr>
      <w:tr>
        <w:tblPrEx>
          <w:tblCellMar>
            <w:top w:w="0" w:type="dxa"/>
            <w:left w:w="108" w:type="dxa"/>
            <w:bottom w:w="0" w:type="dxa"/>
            <w:right w:w="108" w:type="dxa"/>
          </w:tblCellMar>
        </w:tblPrEx>
        <w:trPr>
          <w:trHeight w:val="1800" w:hRule="atLeast"/>
        </w:trPr>
        <w:tc>
          <w:tcPr>
            <w:tcW w:w="4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方案一</w:t>
            </w:r>
          </w:p>
        </w:tc>
        <w:tc>
          <w:tcPr>
            <w:tcW w:w="21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最低评价法</w:t>
            </w:r>
          </w:p>
        </w:tc>
        <w:tc>
          <w:tcPr>
            <w:tcW w:w="41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1.响应人有效报价=最低有效评审价时：得100分；</w:t>
            </w:r>
            <w:r>
              <w:rPr>
                <w:rFonts w:hint="eastAsia" w:ascii="宋体" w:hAnsi="宋体"/>
                <w:color w:val="000000"/>
                <w:kern w:val="0"/>
                <w:sz w:val="22"/>
                <w:szCs w:val="22"/>
              </w:rPr>
              <w:br w:type="textWrapping"/>
            </w:r>
            <w:r>
              <w:rPr>
                <w:rFonts w:hint="eastAsia" w:ascii="宋体" w:hAnsi="宋体"/>
                <w:color w:val="000000"/>
                <w:kern w:val="0"/>
                <w:sz w:val="22"/>
                <w:szCs w:val="22"/>
              </w:rPr>
              <w:t>2.其余响应人得分=（最低有效评审价/该响应人有效评审价）×100</w:t>
            </w:r>
            <w:r>
              <w:rPr>
                <w:rFonts w:hint="eastAsia" w:ascii="宋体" w:hAnsi="宋体"/>
                <w:color w:val="000000"/>
                <w:kern w:val="0"/>
                <w:sz w:val="22"/>
                <w:szCs w:val="22"/>
              </w:rPr>
              <w:br w:type="textWrapping"/>
            </w:r>
            <w:r>
              <w:rPr>
                <w:rFonts w:hint="eastAsia" w:ascii="宋体" w:hAnsi="宋体"/>
                <w:color w:val="000000"/>
                <w:kern w:val="0"/>
                <w:sz w:val="22"/>
                <w:szCs w:val="22"/>
              </w:rPr>
              <w:t>3.结果保留小数点后二位。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报价部分得分合计</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100</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r>
        <w:tblPrEx>
          <w:tblCellMar>
            <w:top w:w="0" w:type="dxa"/>
            <w:left w:w="108" w:type="dxa"/>
            <w:bottom w:w="0" w:type="dxa"/>
            <w:right w:w="108" w:type="dxa"/>
          </w:tblCellMar>
        </w:tblPrEx>
        <w:trPr>
          <w:trHeight w:val="702" w:hRule="atLeast"/>
        </w:trPr>
        <w:tc>
          <w:tcPr>
            <w:tcW w:w="4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color w:val="000000"/>
                <w:kern w:val="0"/>
              </w:rPr>
            </w:pPr>
          </w:p>
        </w:tc>
        <w:tc>
          <w:tcPr>
            <w:tcW w:w="634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报价部分加权得分（报价部分得分合计×权重）</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22"/>
                <w:szCs w:val="22"/>
              </w:rPr>
            </w:pPr>
            <w:r>
              <w:rPr>
                <w:rFonts w:hint="eastAsia" w:ascii="宋体" w:hAnsi="宋体"/>
                <w:color w:val="000000"/>
                <w:kern w:val="0"/>
                <w:sz w:val="22"/>
                <w:szCs w:val="22"/>
              </w:rPr>
              <w:t>　</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rPr>
            </w:pPr>
            <w:r>
              <w:rPr>
                <w:rFonts w:hint="eastAsia" w:ascii="宋体" w:hAnsi="宋体"/>
                <w:color w:val="000000"/>
                <w:kern w:val="0"/>
              </w:rPr>
              <w:t>　</w:t>
            </w:r>
          </w:p>
        </w:tc>
      </w:tr>
    </w:tbl>
    <w:p>
      <w:pPr>
        <w:rPr>
          <w:rFonts w:hint="eastAsia"/>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12BED"/>
    <w:multiLevelType w:val="singleLevel"/>
    <w:tmpl w:val="B4512BED"/>
    <w:lvl w:ilvl="0" w:tentative="0">
      <w:start w:val="1"/>
      <w:numFmt w:val="decimal"/>
      <w:suff w:val="nothing"/>
      <w:lvlText w:val="%1、"/>
      <w:lvlJc w:val="left"/>
    </w:lvl>
  </w:abstractNum>
  <w:abstractNum w:abstractNumId="1">
    <w:nsid w:val="569F1865"/>
    <w:multiLevelType w:val="singleLevel"/>
    <w:tmpl w:val="569F186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13"/>
    <w:rsid w:val="000B33EA"/>
    <w:rsid w:val="00182994"/>
    <w:rsid w:val="006F4DCE"/>
    <w:rsid w:val="00AB0513"/>
    <w:rsid w:val="00C26669"/>
    <w:rsid w:val="00DE19C7"/>
    <w:rsid w:val="1E5D6B80"/>
    <w:rsid w:val="29294204"/>
    <w:rsid w:val="307C06DF"/>
    <w:rsid w:val="6EDD7F62"/>
    <w:rsid w:val="72526E2F"/>
    <w:rsid w:val="7F78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772082F-78B6-4566-AB76-7DF5AFD20EA9}"/>
</file>

<file path=customXml/itemProps3.xml><?xml version="1.0" encoding="utf-8"?>
<ds:datastoreItem xmlns:ds="http://schemas.openxmlformats.org/officeDocument/2006/customXml" ds:itemID="{D17DB7B2-60A3-4FE5-B049-1A75966A90F0}"/>
</file>

<file path=customXml/itemProps4.xml><?xml version="1.0" encoding="utf-8"?>
<ds:datastoreItem xmlns:ds="http://schemas.openxmlformats.org/officeDocument/2006/customXml" ds:itemID="{DFD5272B-8256-4C66-84C3-55EAB725EA94}"/>
</file>

<file path=docProps/app.xml><?xml version="1.0" encoding="utf-8"?>
<Properties xmlns="http://schemas.openxmlformats.org/officeDocument/2006/extended-properties" xmlns:vt="http://schemas.openxmlformats.org/officeDocument/2006/docPropsVTypes">
  <Template>Normal</Template>
  <Company>Sky123.Org</Company>
  <Pages>7</Pages>
  <Words>345</Words>
  <Characters>1973</Characters>
  <Lines>16</Lines>
  <Paragraphs>4</Paragraphs>
  <TotalTime>28</TotalTime>
  <ScaleCrop>false</ScaleCrop>
  <LinksUpToDate>false</LinksUpToDate>
  <CharactersWithSpaces>2314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黄晓宇</dc:creator>
  <cp:lastModifiedBy>黄晓宇</cp:lastModifiedBy>
  <cp:revision>1</cp:revision>
  <cp:lastPrinted>2022-06-17T02:29:00Z</cp:lastPrinted>
  <dcterms:created xsi:type="dcterms:W3CDTF">2022-06-15T01:28:00Z</dcterms:created>
  <dcterms:modified xsi:type="dcterms:W3CDTF">2022-11-01T05:49:17Z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69ED1C19B7F34EDD9D3CEC409E6A4A6A</vt:lpwstr>
  </property>
  <property fmtid="{D5CDD505-2E9C-101B-9397-08002B2CF9AE}" pid="4" name="ContentTypeId">
    <vt:lpwstr>0x0101000E70836B3C344840AC266AC8DA5B0D41</vt:lpwstr>
  </property>
</Properties>
</file>