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4936" w:type="dxa"/>
        <w:tblInd w:w="0" w:type="dxa"/>
        <w:tblLayout w:type="autofit"/>
        <w:tblCellMar>
          <w:top w:w="0" w:type="dxa"/>
          <w:left w:w="108" w:type="dxa"/>
          <w:bottom w:w="0" w:type="dxa"/>
          <w:right w:w="108" w:type="dxa"/>
        </w:tblCellMar>
      </w:tblPr>
      <w:tblGrid>
        <w:gridCol w:w="14936"/>
      </w:tblGrid>
      <w:tr>
        <w:trPr>
          <w:trHeight w:val="750" w:hRule="atLeast"/>
        </w:trPr>
        <w:tc>
          <w:tcPr>
            <w:tcW w:w="14936" w:type="dxa"/>
            <w:tcBorders>
              <w:top w:val="single" w:color="auto" w:sz="4" w:space="0"/>
              <w:left w:val="nil"/>
              <w:bottom w:val="nil"/>
              <w:right w:val="nil"/>
            </w:tcBorders>
            <w:shd w:val="clear" w:color="auto" w:fill="auto"/>
            <w:vAlign w:val="center"/>
          </w:tcPr>
          <w:p>
            <w:pPr>
              <w:widowControl/>
              <w:spacing w:line="240" w:lineRule="auto"/>
              <w:jc w:val="left"/>
              <w:rPr>
                <w:b/>
              </w:rPr>
            </w:pPr>
          </w:p>
          <w:tbl>
            <w:tblPr>
              <w:tblStyle w:val="9"/>
              <w:tblW w:w="14720" w:type="dxa"/>
              <w:tblInd w:w="0" w:type="dxa"/>
              <w:tblLayout w:type="autofit"/>
              <w:tblCellMar>
                <w:top w:w="0" w:type="dxa"/>
                <w:left w:w="108" w:type="dxa"/>
                <w:bottom w:w="0" w:type="dxa"/>
                <w:right w:w="108" w:type="dxa"/>
              </w:tblCellMar>
            </w:tblPr>
            <w:tblGrid>
              <w:gridCol w:w="740"/>
              <w:gridCol w:w="1940"/>
              <w:gridCol w:w="4400"/>
              <w:gridCol w:w="1760"/>
              <w:gridCol w:w="1760"/>
              <w:gridCol w:w="1760"/>
              <w:gridCol w:w="1100"/>
              <w:gridCol w:w="1260"/>
            </w:tblGrid>
            <w:tr>
              <w:tblPrEx>
                <w:tblCellMar>
                  <w:top w:w="0" w:type="dxa"/>
                  <w:left w:w="108" w:type="dxa"/>
                  <w:bottom w:w="0" w:type="dxa"/>
                  <w:right w:w="108" w:type="dxa"/>
                </w:tblCellMar>
              </w:tblPrEx>
              <w:trPr>
                <w:trHeight w:val="570" w:hRule="atLeast"/>
              </w:trPr>
              <w:tc>
                <w:tcPr>
                  <w:tcW w:w="14720" w:type="dxa"/>
                  <w:gridSpan w:val="8"/>
                  <w:tcBorders>
                    <w:top w:val="nil"/>
                    <w:left w:val="nil"/>
                    <w:bottom w:val="nil"/>
                    <w:right w:val="nil"/>
                  </w:tcBorders>
                  <w:shd w:val="clear" w:color="auto" w:fill="auto"/>
                  <w:vAlign w:val="center"/>
                </w:tcPr>
                <w:p>
                  <w:pPr>
                    <w:widowControl/>
                    <w:spacing w:line="240" w:lineRule="auto"/>
                    <w:jc w:val="center"/>
                    <w:rPr>
                      <w:rFonts w:ascii="宋体" w:hAnsi="宋体" w:cs="宋体"/>
                      <w:b/>
                      <w:bCs/>
                      <w:color w:val="000000"/>
                      <w:kern w:val="0"/>
                    </w:rPr>
                  </w:pPr>
                  <w:r>
                    <w:rPr>
                      <w:rFonts w:hint="eastAsia" w:ascii="宋体" w:hAnsi="宋体" w:cs="宋体"/>
                      <w:b/>
                      <w:bCs/>
                      <w:color w:val="000000"/>
                      <w:kern w:val="0"/>
                    </w:rPr>
                    <w:t>竞争性选商最低价评审法评分表（否决项+商务部分）</w:t>
                  </w:r>
                </w:p>
              </w:tc>
            </w:tr>
            <w:tr>
              <w:tblPrEx>
                <w:tblCellMar>
                  <w:top w:w="0" w:type="dxa"/>
                  <w:left w:w="108" w:type="dxa"/>
                  <w:bottom w:w="0" w:type="dxa"/>
                  <w:right w:w="108" w:type="dxa"/>
                </w:tblCellMar>
              </w:tblPrEx>
              <w:trPr>
                <w:trHeight w:val="555" w:hRule="atLeast"/>
              </w:trPr>
              <w:tc>
                <w:tcPr>
                  <w:tcW w:w="14720" w:type="dxa"/>
                  <w:gridSpan w:val="8"/>
                  <w:tcBorders>
                    <w:top w:val="nil"/>
                    <w:left w:val="nil"/>
                    <w:bottom w:val="single" w:color="auto" w:sz="4" w:space="0"/>
                    <w:right w:val="nil"/>
                  </w:tcBorders>
                  <w:shd w:val="clear" w:color="auto" w:fill="auto"/>
                  <w:vAlign w:val="center"/>
                </w:tcPr>
                <w:p>
                  <w:pPr>
                    <w:widowControl/>
                    <w:spacing w:line="240" w:lineRule="auto"/>
                    <w:jc w:val="left"/>
                    <w:rPr>
                      <w:rFonts w:ascii="宋体" w:hAnsi="宋体" w:cs="宋体"/>
                      <w:b/>
                      <w:bCs/>
                      <w:color w:val="000000"/>
                      <w:kern w:val="0"/>
                      <w:sz w:val="22"/>
                      <w:szCs w:val="22"/>
                    </w:rPr>
                  </w:pPr>
                  <w:r>
                    <w:rPr>
                      <w:rFonts w:hint="eastAsia" w:ascii="宋体" w:hAnsi="宋体" w:cs="宋体"/>
                      <w:b/>
                      <w:bCs/>
                      <w:color w:val="000000"/>
                      <w:kern w:val="0"/>
                      <w:sz w:val="22"/>
                      <w:szCs w:val="22"/>
                    </w:rPr>
                    <w:t xml:space="preserve">                                                                评审人签名：</w:t>
                  </w:r>
                </w:p>
              </w:tc>
            </w:tr>
            <w:tr>
              <w:tblPrEx>
                <w:tblCellMar>
                  <w:top w:w="0" w:type="dxa"/>
                  <w:left w:w="108" w:type="dxa"/>
                  <w:bottom w:w="0" w:type="dxa"/>
                  <w:right w:w="108" w:type="dxa"/>
                </w:tblCellMar>
              </w:tblPrEx>
              <w:trPr>
                <w:trHeight w:val="555" w:hRule="atLeast"/>
              </w:trPr>
              <w:tc>
                <w:tcPr>
                  <w:tcW w:w="14720"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jc w:val="left"/>
                    <w:rPr>
                      <w:rFonts w:ascii="宋体" w:hAnsi="宋体" w:cs="宋体"/>
                      <w:b/>
                      <w:bCs/>
                      <w:color w:val="000000"/>
                      <w:kern w:val="0"/>
                      <w:sz w:val="22"/>
                      <w:szCs w:val="22"/>
                    </w:rPr>
                  </w:pPr>
                  <w:r>
                    <w:rPr>
                      <w:rFonts w:hint="eastAsia" w:ascii="宋体" w:hAnsi="宋体" w:cs="宋体"/>
                      <w:b/>
                      <w:bCs/>
                      <w:color w:val="000000"/>
                      <w:kern w:val="0"/>
                      <w:sz w:val="22"/>
                      <w:szCs w:val="22"/>
                    </w:rPr>
                    <w:t>一、否决项（出现任何一项不符合项，即否决，不得参加评审）</w:t>
                  </w:r>
                </w:p>
              </w:tc>
            </w:tr>
            <w:tr>
              <w:tblPrEx>
                <w:tblCellMar>
                  <w:top w:w="0" w:type="dxa"/>
                  <w:left w:w="108" w:type="dxa"/>
                  <w:bottom w:w="0" w:type="dxa"/>
                  <w:right w:w="108" w:type="dxa"/>
                </w:tblCellMar>
              </w:tblPrEx>
              <w:trPr>
                <w:trHeight w:val="555"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000000"/>
                      <w:kern w:val="0"/>
                    </w:rPr>
                  </w:pPr>
                  <w:r>
                    <w:rPr>
                      <w:rFonts w:hint="eastAsia" w:ascii="宋体" w:hAnsi="宋体" w:cs="宋体"/>
                      <w:b/>
                      <w:bCs/>
                      <w:color w:val="000000"/>
                      <w:kern w:val="0"/>
                    </w:rPr>
                    <w:t>序号</w:t>
                  </w:r>
                </w:p>
              </w:tc>
              <w:tc>
                <w:tcPr>
                  <w:tcW w:w="19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000000"/>
                      <w:kern w:val="0"/>
                    </w:rPr>
                  </w:pPr>
                  <w:r>
                    <w:rPr>
                      <w:rFonts w:hint="eastAsia" w:ascii="宋体" w:hAnsi="宋体" w:cs="宋体"/>
                      <w:b/>
                      <w:bCs/>
                      <w:color w:val="000000"/>
                      <w:kern w:val="0"/>
                    </w:rPr>
                    <w:t>评分项目</w:t>
                  </w:r>
                </w:p>
              </w:tc>
              <w:tc>
                <w:tcPr>
                  <w:tcW w:w="44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000000"/>
                      <w:kern w:val="0"/>
                    </w:rPr>
                  </w:pPr>
                  <w:r>
                    <w:rPr>
                      <w:rFonts w:hint="eastAsia" w:ascii="宋体" w:hAnsi="宋体" w:cs="宋体"/>
                      <w:b/>
                      <w:bCs/>
                      <w:color w:val="000000"/>
                      <w:kern w:val="0"/>
                    </w:rPr>
                    <w:t>评分标准</w:t>
                  </w:r>
                </w:p>
              </w:tc>
              <w:tc>
                <w:tcPr>
                  <w:tcW w:w="52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000000"/>
                      <w:kern w:val="0"/>
                    </w:rPr>
                  </w:pPr>
                  <w:r>
                    <w:rPr>
                      <w:rFonts w:hint="eastAsia" w:ascii="宋体" w:hAnsi="宋体" w:cs="宋体"/>
                      <w:b/>
                      <w:bCs/>
                      <w:color w:val="000000"/>
                      <w:kern w:val="0"/>
                    </w:rPr>
                    <w:t>是否符合</w:t>
                  </w:r>
                </w:p>
              </w:tc>
              <w:tc>
                <w:tcPr>
                  <w:tcW w:w="236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000000"/>
                      <w:kern w:val="0"/>
                    </w:rPr>
                  </w:pPr>
                  <w:r>
                    <w:rPr>
                      <w:rFonts w:hint="eastAsia" w:ascii="宋体" w:hAnsi="宋体" w:cs="宋体"/>
                      <w:b/>
                      <w:bCs/>
                      <w:color w:val="000000"/>
                      <w:kern w:val="0"/>
                    </w:rPr>
                    <w:t>备注</w:t>
                  </w:r>
                </w:p>
              </w:tc>
            </w:tr>
            <w:tr>
              <w:tblPrEx>
                <w:tblCellMar>
                  <w:top w:w="0" w:type="dxa"/>
                  <w:left w:w="108" w:type="dxa"/>
                  <w:bottom w:w="0" w:type="dxa"/>
                  <w:right w:w="108" w:type="dxa"/>
                </w:tblCellMar>
              </w:tblPrEx>
              <w:trPr>
                <w:trHeight w:val="435"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b/>
                      <w:bCs/>
                      <w:color w:val="000000"/>
                      <w:kern w:val="0"/>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b/>
                      <w:bCs/>
                      <w:color w:val="000000"/>
                      <w:kern w:val="0"/>
                    </w:rPr>
                  </w:pPr>
                </w:p>
              </w:tc>
              <w:tc>
                <w:tcPr>
                  <w:tcW w:w="44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b/>
                      <w:bCs/>
                      <w:color w:val="000000"/>
                      <w:kern w:val="0"/>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FF0000"/>
                      <w:kern w:val="0"/>
                    </w:rPr>
                  </w:pPr>
                  <w:r>
                    <w:rPr>
                      <w:rFonts w:hint="eastAsia" w:ascii="宋体" w:hAnsi="宋体" w:cs="宋体"/>
                      <w:b/>
                      <w:bCs/>
                      <w:color w:val="FF0000"/>
                      <w:kern w:val="0"/>
                    </w:rPr>
                    <w:t>响应单位名称1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FF0000"/>
                      <w:kern w:val="0"/>
                    </w:rPr>
                  </w:pPr>
                  <w:r>
                    <w:rPr>
                      <w:rFonts w:hint="eastAsia" w:ascii="宋体" w:hAnsi="宋体" w:cs="宋体"/>
                      <w:b/>
                      <w:bCs/>
                      <w:color w:val="FF0000"/>
                      <w:kern w:val="0"/>
                    </w:rPr>
                    <w:t>响应单位名称2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FF0000"/>
                      <w:kern w:val="0"/>
                    </w:rPr>
                  </w:pPr>
                  <w:r>
                    <w:rPr>
                      <w:rFonts w:hint="eastAsia" w:ascii="宋体" w:hAnsi="宋体" w:cs="宋体"/>
                      <w:b/>
                      <w:bCs/>
                      <w:color w:val="FF0000"/>
                      <w:kern w:val="0"/>
                    </w:rPr>
                    <w:t>响应单位名称3</w:t>
                  </w:r>
                </w:p>
              </w:tc>
              <w:tc>
                <w:tcPr>
                  <w:tcW w:w="23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b/>
                      <w:bCs/>
                      <w:color w:val="000000"/>
                      <w:kern w:val="0"/>
                    </w:rPr>
                  </w:pPr>
                </w:p>
              </w:tc>
            </w:tr>
            <w:tr>
              <w:tblPrEx>
                <w:tblCellMar>
                  <w:top w:w="0" w:type="dxa"/>
                  <w:left w:w="108" w:type="dxa"/>
                  <w:bottom w:w="0" w:type="dxa"/>
                  <w:right w:w="108" w:type="dxa"/>
                </w:tblCellMar>
              </w:tblPrEx>
              <w:trPr>
                <w:trHeight w:val="996"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1</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响应保证金或履约保函或其他担保</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rPr>
                  </w:pPr>
                  <w:r>
                    <w:rPr>
                      <w:rFonts w:hint="eastAsia" w:ascii="宋体" w:hAnsi="宋体" w:cs="宋体"/>
                      <w:color w:val="FF0000"/>
                      <w:kern w:val="0"/>
                    </w:rPr>
                    <w:t>按规定的要求提交响应保证金（不得超过响应报价总金额的2%）或履约保函或其他方式的担保：</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FF0000"/>
                      <w:kern w:val="0"/>
                    </w:rPr>
                  </w:pPr>
                  <w:r>
                    <w:rPr>
                      <w:rFonts w:hint="eastAsia" w:ascii="宋体" w:hAnsi="宋体" w:cs="宋体"/>
                      <w:b/>
                      <w:bCs/>
                      <w:color w:val="FF0000"/>
                      <w:kern w:val="0"/>
                    </w:rPr>
                    <w:t>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FF0000"/>
                      <w:kern w:val="0"/>
                    </w:rPr>
                  </w:pPr>
                  <w:r>
                    <w:rPr>
                      <w:rFonts w:hint="eastAsia" w:ascii="宋体" w:hAnsi="宋体" w:cs="宋体"/>
                      <w:b/>
                      <w:bCs/>
                      <w:color w:val="FF0000"/>
                      <w:kern w:val="0"/>
                    </w:rPr>
                    <w:t>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FF0000"/>
                      <w:kern w:val="0"/>
                    </w:rPr>
                  </w:pPr>
                  <w:r>
                    <w:rPr>
                      <w:rFonts w:hint="eastAsia" w:ascii="宋体" w:hAnsi="宋体" w:cs="宋体"/>
                      <w:b/>
                      <w:bCs/>
                      <w:color w:val="FF0000"/>
                      <w:kern w:val="0"/>
                    </w:rPr>
                    <w:t>　</w:t>
                  </w: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FF0000"/>
                      <w:kern w:val="0"/>
                    </w:rPr>
                  </w:pPr>
                  <w:r>
                    <w:rPr>
                      <w:rFonts w:hint="eastAsia" w:ascii="宋体" w:hAnsi="宋体" w:cs="宋体"/>
                      <w:color w:val="FF0000"/>
                      <w:kern w:val="0"/>
                    </w:rPr>
                    <w:t>不适用</w:t>
                  </w:r>
                </w:p>
              </w:tc>
            </w:tr>
            <w:tr>
              <w:tblPrEx>
                <w:tblCellMar>
                  <w:top w:w="0" w:type="dxa"/>
                  <w:left w:w="108" w:type="dxa"/>
                  <w:bottom w:w="0" w:type="dxa"/>
                  <w:right w:w="108" w:type="dxa"/>
                </w:tblCellMar>
              </w:tblPrEx>
              <w:trPr>
                <w:trHeight w:val="1428"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响应文件密封并及时送达</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响应文件密封并且未损坏，响应文件在响应有效期限内送达</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《竞争性选商响应文件寄（送）达记录》由经办人在送达时点即时记录，评审时现场出示</w:t>
                  </w:r>
                </w:p>
              </w:tc>
            </w:tr>
            <w:tr>
              <w:tblPrEx>
                <w:tblCellMar>
                  <w:top w:w="0" w:type="dxa"/>
                  <w:left w:w="108" w:type="dxa"/>
                  <w:bottom w:w="0" w:type="dxa"/>
                  <w:right w:w="108" w:type="dxa"/>
                </w:tblCellMar>
              </w:tblPrEx>
              <w:trPr>
                <w:trHeight w:val="68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文件分装要求</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技术响应文件和商务响应文件分开密封包装并且未损坏</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FF0000"/>
                      <w:kern w:val="0"/>
                      <w:sz w:val="22"/>
                      <w:szCs w:val="22"/>
                    </w:rPr>
                  </w:pPr>
                  <w:r>
                    <w:rPr>
                      <w:rFonts w:hint="eastAsia" w:ascii="宋体" w:hAnsi="宋体" w:cs="宋体"/>
                      <w:color w:val="FF0000"/>
                      <w:kern w:val="0"/>
                      <w:sz w:val="22"/>
                      <w:szCs w:val="22"/>
                    </w:rPr>
                    <w:t>不适用</w:t>
                  </w:r>
                </w:p>
              </w:tc>
            </w:tr>
            <w:tr>
              <w:tblPrEx>
                <w:tblCellMar>
                  <w:top w:w="0" w:type="dxa"/>
                  <w:left w:w="108" w:type="dxa"/>
                  <w:bottom w:w="0" w:type="dxa"/>
                  <w:right w:w="108" w:type="dxa"/>
                </w:tblCellMar>
              </w:tblPrEx>
              <w:trPr>
                <w:trHeight w:val="2088"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4</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营业执照、行业许可证书或资质证书</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响应人按竞争性选商文件要求提供在有效期及经营范围或许可范围内的营业执照、经营许可或行业许可证书或资格、资质证书和员工资格、资质证书或操作证书的，并且所提供的资料及信息符合要求、为有效资料的；其中:分公司须出具其总部授权其参加竞争性选商的委托书</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宋体"/>
                      <w:color w:val="FF0000"/>
                      <w:kern w:val="0"/>
                      <w:sz w:val="22"/>
                      <w:szCs w:val="22"/>
                      <w:lang w:eastAsia="zh-CN"/>
                    </w:rPr>
                  </w:pPr>
                  <w:r>
                    <w:rPr>
                      <w:rFonts w:hint="eastAsia" w:ascii="宋体" w:hAnsi="宋体" w:cs="宋体"/>
                      <w:color w:val="FF0000"/>
                      <w:kern w:val="0"/>
                      <w:sz w:val="22"/>
                      <w:szCs w:val="22"/>
                      <w:lang w:eastAsia="zh-CN"/>
                    </w:rPr>
                    <w:t>港口经营许可证</w:t>
                  </w:r>
                </w:p>
              </w:tc>
            </w:tr>
            <w:tr>
              <w:tblPrEx>
                <w:tblCellMar>
                  <w:top w:w="0" w:type="dxa"/>
                  <w:left w:w="108" w:type="dxa"/>
                  <w:bottom w:w="0" w:type="dxa"/>
                  <w:right w:w="108" w:type="dxa"/>
                </w:tblCellMar>
              </w:tblPrEx>
              <w:trPr>
                <w:trHeight w:val="648"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5</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证书、资料等真实有效</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响应人声明情况属实，提供的证书、资料等没有弄虚作假</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FF0000"/>
                      <w:kern w:val="0"/>
                      <w:sz w:val="22"/>
                      <w:szCs w:val="22"/>
                    </w:rPr>
                  </w:pPr>
                  <w:r>
                    <w:rPr>
                      <w:rFonts w:hint="eastAsia" w:ascii="宋体" w:hAnsi="宋体" w:cs="宋体"/>
                      <w:color w:val="FF0000"/>
                      <w:kern w:val="0"/>
                      <w:sz w:val="22"/>
                      <w:szCs w:val="22"/>
                    </w:rPr>
                    <w:t>　</w:t>
                  </w:r>
                </w:p>
              </w:tc>
            </w:tr>
            <w:tr>
              <w:tblPrEx>
                <w:tblCellMar>
                  <w:top w:w="0" w:type="dxa"/>
                  <w:left w:w="108" w:type="dxa"/>
                  <w:bottom w:w="0" w:type="dxa"/>
                  <w:right w:w="108" w:type="dxa"/>
                </w:tblCellMar>
              </w:tblPrEx>
              <w:trPr>
                <w:trHeight w:val="98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严重过违法违规受到行政处罚和过错责任引发诉讼</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没有因严重违法违规行为受到行政处罚或因存在严重违约、失信等过错责任引发诉讼的</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36"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7</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严重失信情况</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未被“信用中国”、“国家企业信用信息公司系统”等信用信息共享平台列入严重违法失信企业名单、失信人执行名单</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　</w:t>
                  </w:r>
                </w:p>
              </w:tc>
            </w:tr>
            <w:tr>
              <w:tblPrEx>
                <w:tblCellMar>
                  <w:top w:w="0" w:type="dxa"/>
                  <w:left w:w="108" w:type="dxa"/>
                  <w:bottom w:w="0" w:type="dxa"/>
                  <w:right w:w="108" w:type="dxa"/>
                </w:tblCellMar>
              </w:tblPrEx>
              <w:trPr>
                <w:trHeight w:val="732"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严重失信情况</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没有在最近三年内因违法违规行为造成较大社会影响或被政府部门、</w:t>
                  </w:r>
                  <w:r>
                    <w:rPr>
                      <w:rFonts w:ascii="宋体" w:hAnsi="宋体" w:cs="宋体"/>
                      <w:color w:val="FF0000"/>
                      <w:kern w:val="0"/>
                      <w:sz w:val="22"/>
                      <w:szCs w:val="22"/>
                    </w:rPr>
                    <w:t>行业</w:t>
                  </w:r>
                  <w:r>
                    <w:rPr>
                      <w:rFonts w:hint="eastAsia" w:ascii="宋体" w:hAnsi="宋体" w:cs="宋体"/>
                      <w:color w:val="FF0000"/>
                      <w:kern w:val="0"/>
                      <w:sz w:val="22"/>
                      <w:szCs w:val="22"/>
                    </w:rPr>
                    <w:t>组织</w:t>
                  </w:r>
                  <w:r>
                    <w:rPr>
                      <w:rFonts w:ascii="宋体" w:hAnsi="宋体" w:cs="宋体"/>
                      <w:color w:val="FF0000"/>
                      <w:kern w:val="0"/>
                      <w:sz w:val="22"/>
                      <w:szCs w:val="22"/>
                    </w:rPr>
                    <w:t>等</w:t>
                  </w:r>
                  <w:r>
                    <w:rPr>
                      <w:rFonts w:hint="eastAsia" w:ascii="宋体" w:hAnsi="宋体" w:cs="宋体"/>
                      <w:color w:val="FF0000"/>
                      <w:kern w:val="0"/>
                      <w:sz w:val="22"/>
                      <w:szCs w:val="22"/>
                    </w:rPr>
                    <w:t>列入“黑名单”</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FF0000"/>
                      <w:kern w:val="0"/>
                      <w:sz w:val="22"/>
                      <w:szCs w:val="22"/>
                    </w:rPr>
                  </w:pPr>
                  <w:r>
                    <w:rPr>
                      <w:rFonts w:hint="eastAsia" w:ascii="宋体" w:hAnsi="宋体" w:cs="宋体"/>
                      <w:color w:val="FF0000"/>
                      <w:kern w:val="0"/>
                      <w:sz w:val="22"/>
                      <w:szCs w:val="22"/>
                    </w:rPr>
                    <w:t>　</w:t>
                  </w:r>
                </w:p>
              </w:tc>
            </w:tr>
            <w:tr>
              <w:tblPrEx>
                <w:tblCellMar>
                  <w:top w:w="0" w:type="dxa"/>
                  <w:left w:w="108" w:type="dxa"/>
                  <w:bottom w:w="0" w:type="dxa"/>
                  <w:right w:w="108" w:type="dxa"/>
                </w:tblCellMar>
              </w:tblPrEx>
              <w:trPr>
                <w:trHeight w:val="972"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9</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严重失信情况</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没有因在中石化总部及其分子公司选商和签订、履行合同时严重违约违规等而被列入“黑名单”</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FF0000"/>
                      <w:kern w:val="0"/>
                      <w:sz w:val="22"/>
                      <w:szCs w:val="22"/>
                    </w:rPr>
                  </w:pPr>
                  <w:r>
                    <w:rPr>
                      <w:rFonts w:hint="eastAsia" w:ascii="宋体" w:hAnsi="宋体" w:cs="宋体"/>
                      <w:color w:val="FF0000"/>
                      <w:kern w:val="0"/>
                      <w:sz w:val="22"/>
                      <w:szCs w:val="22"/>
                    </w:rPr>
                    <w:t>　</w:t>
                  </w:r>
                </w:p>
              </w:tc>
            </w:tr>
            <w:tr>
              <w:tblPrEx>
                <w:tblCellMar>
                  <w:top w:w="0" w:type="dxa"/>
                  <w:left w:w="108" w:type="dxa"/>
                  <w:bottom w:w="0" w:type="dxa"/>
                  <w:right w:w="108" w:type="dxa"/>
                </w:tblCellMar>
              </w:tblPrEx>
              <w:trPr>
                <w:trHeight w:val="696"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FF0000"/>
                      <w:kern w:val="0"/>
                      <w:sz w:val="22"/>
                      <w:szCs w:val="22"/>
                    </w:rPr>
                    <w:t>一般</w:t>
                  </w:r>
                  <w:r>
                    <w:rPr>
                      <w:rFonts w:ascii="宋体" w:hAnsi="宋体" w:cs="宋体"/>
                      <w:color w:val="FF0000"/>
                      <w:kern w:val="0"/>
                      <w:sz w:val="22"/>
                      <w:szCs w:val="22"/>
                    </w:rPr>
                    <w:t>违法违规及失信</w:t>
                  </w:r>
                  <w:r>
                    <w:rPr>
                      <w:rFonts w:hint="eastAsia" w:ascii="宋体" w:hAnsi="宋体" w:cs="宋体"/>
                      <w:color w:val="FF0000"/>
                      <w:kern w:val="0"/>
                      <w:sz w:val="22"/>
                      <w:szCs w:val="22"/>
                    </w:rPr>
                    <w:t>情况</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highlight w:val="none"/>
                    </w:rPr>
                  </w:pPr>
                  <w:r>
                    <w:rPr>
                      <w:rFonts w:hint="eastAsia" w:ascii="宋体" w:hAnsi="宋体" w:cs="宋体"/>
                      <w:color w:val="FF0000"/>
                      <w:kern w:val="0"/>
                      <w:sz w:val="22"/>
                      <w:szCs w:val="22"/>
                      <w:highlight w:val="none"/>
                    </w:rPr>
                    <w:t>近</w:t>
                  </w:r>
                  <w:r>
                    <w:rPr>
                      <w:rFonts w:ascii="宋体" w:hAnsi="宋体" w:cs="宋体"/>
                      <w:color w:val="FF0000"/>
                      <w:kern w:val="0"/>
                      <w:sz w:val="22"/>
                      <w:szCs w:val="22"/>
                      <w:highlight w:val="none"/>
                    </w:rPr>
                    <w:t>三年内</w:t>
                  </w:r>
                  <w:r>
                    <w:rPr>
                      <w:rFonts w:hint="eastAsia" w:ascii="宋体" w:hAnsi="宋体" w:cs="宋体"/>
                      <w:color w:val="FF0000"/>
                      <w:kern w:val="0"/>
                      <w:sz w:val="22"/>
                      <w:szCs w:val="22"/>
                      <w:highlight w:val="none"/>
                    </w:rPr>
                    <w:t>一般</w:t>
                  </w:r>
                  <w:r>
                    <w:rPr>
                      <w:rFonts w:ascii="宋体" w:hAnsi="宋体" w:cs="宋体"/>
                      <w:color w:val="FF0000"/>
                      <w:kern w:val="0"/>
                      <w:sz w:val="22"/>
                      <w:szCs w:val="22"/>
                      <w:highlight w:val="none"/>
                    </w:rPr>
                    <w:t>违法违规及失信</w:t>
                  </w:r>
                  <w:r>
                    <w:rPr>
                      <w:rFonts w:hint="eastAsia" w:ascii="宋体" w:hAnsi="宋体" w:cs="宋体"/>
                      <w:color w:val="FF0000"/>
                      <w:kern w:val="0"/>
                      <w:sz w:val="22"/>
                      <w:szCs w:val="22"/>
                      <w:highlight w:val="none"/>
                    </w:rPr>
                    <w:t>的数量较少，且经分析和</w:t>
                  </w:r>
                  <w:r>
                    <w:rPr>
                      <w:rFonts w:ascii="宋体" w:hAnsi="宋体" w:cs="宋体"/>
                      <w:color w:val="FF0000"/>
                      <w:kern w:val="0"/>
                      <w:sz w:val="22"/>
                      <w:szCs w:val="22"/>
                      <w:highlight w:val="none"/>
                    </w:rPr>
                    <w:t>评审认为</w:t>
                  </w:r>
                  <w:r>
                    <w:rPr>
                      <w:rFonts w:hint="eastAsia" w:ascii="宋体" w:hAnsi="宋体" w:cs="宋体"/>
                      <w:color w:val="FF0000"/>
                      <w:kern w:val="0"/>
                      <w:sz w:val="22"/>
                      <w:szCs w:val="22"/>
                      <w:highlight w:val="none"/>
                    </w:rPr>
                    <w:t>不存在很</w:t>
                  </w:r>
                  <w:r>
                    <w:rPr>
                      <w:rFonts w:ascii="宋体" w:hAnsi="宋体" w:cs="宋体"/>
                      <w:color w:val="FF0000"/>
                      <w:kern w:val="0"/>
                      <w:sz w:val="22"/>
                      <w:szCs w:val="22"/>
                      <w:highlight w:val="none"/>
                    </w:rPr>
                    <w:t>大的</w:t>
                  </w:r>
                  <w:r>
                    <w:rPr>
                      <w:rFonts w:hint="eastAsia" w:ascii="宋体" w:hAnsi="宋体" w:cs="宋体"/>
                      <w:color w:val="FF0000"/>
                      <w:kern w:val="0"/>
                      <w:sz w:val="22"/>
                      <w:szCs w:val="22"/>
                      <w:highlight w:val="none"/>
                    </w:rPr>
                    <w:t>合作</w:t>
                  </w:r>
                  <w:r>
                    <w:rPr>
                      <w:rFonts w:ascii="宋体" w:hAnsi="宋体" w:cs="宋体"/>
                      <w:color w:val="FF0000"/>
                      <w:kern w:val="0"/>
                      <w:sz w:val="22"/>
                      <w:szCs w:val="22"/>
                      <w:highlight w:val="none"/>
                    </w:rPr>
                    <w:t>风险</w:t>
                  </w:r>
                  <w:r>
                    <w:rPr>
                      <w:rFonts w:hint="eastAsia" w:ascii="宋体" w:hAnsi="宋体" w:cs="宋体"/>
                      <w:color w:val="FF0000"/>
                      <w:kern w:val="0"/>
                      <w:sz w:val="22"/>
                      <w:szCs w:val="22"/>
                      <w:highlight w:val="none"/>
                    </w:rPr>
                    <w:t xml:space="preserve">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696"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1</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联合体提交共同响应协议</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highlight w:val="none"/>
                    </w:rPr>
                  </w:pPr>
                  <w:r>
                    <w:rPr>
                      <w:rFonts w:hint="eastAsia" w:ascii="宋体" w:hAnsi="宋体" w:cs="宋体"/>
                      <w:color w:val="FF0000"/>
                      <w:kern w:val="0"/>
                      <w:sz w:val="22"/>
                      <w:szCs w:val="22"/>
                      <w:highlight w:val="none"/>
                    </w:rPr>
                    <w:t>响应联合体应提交共同响应协议</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20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2</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虚假竞争</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未发生负责人为同一人的不同响应人或者存在控股、管理等关联关系的不同响应人，对同一标段或者未划分标段的同一竞争性选商业务进行响应的</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72"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rPr>
                  </w:pPr>
                  <w:r>
                    <w:rPr>
                      <w:rFonts w:ascii="宋体" w:hAnsi="宋体" w:cs="宋体"/>
                      <w:color w:val="000000"/>
                      <w:kern w:val="0"/>
                    </w:rPr>
                    <w:t>13</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违法违规的响应</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未发生响应人有以他人的名义响应、串通响应、以行贿手段谋取成交或以其他弄虚作假方式响应的</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548"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4</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恶性竞争</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响应人的报价明显低于其他响应人报价的或低于经测算已设定的底价，谈判小组要求其澄清时，该响应人能合理说明或者能提供相关证明材料，谈判小组认定该响应</w:t>
                  </w:r>
                  <w:r>
                    <w:rPr>
                      <w:rFonts w:hint="eastAsia" w:ascii="宋体" w:hAnsi="宋体" w:cs="宋体"/>
                      <w:color w:val="FF0000"/>
                      <w:kern w:val="0"/>
                      <w:sz w:val="22"/>
                      <w:szCs w:val="22"/>
                      <w:lang w:val="en-US" w:eastAsia="zh-CN"/>
                    </w:rPr>
                    <w:t>不</w:t>
                  </w:r>
                  <w:r>
                    <w:rPr>
                      <w:rFonts w:hint="eastAsia" w:ascii="宋体" w:hAnsi="宋体" w:cs="宋体"/>
                      <w:color w:val="FF0000"/>
                      <w:kern w:val="0"/>
                      <w:sz w:val="22"/>
                      <w:szCs w:val="22"/>
                    </w:rPr>
                    <w:t>为恶性竞争行为的</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08"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rPr>
                  </w:pPr>
                  <w:r>
                    <w:rPr>
                      <w:rFonts w:ascii="宋体" w:hAnsi="宋体" w:cs="宋体"/>
                      <w:color w:val="000000"/>
                      <w:kern w:val="0"/>
                    </w:rPr>
                    <w:t>15</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响应文件与竞争性选商文件重大偏差</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响应文件不存在重大偏差（重大偏差是指：未对竞争性谈判文件的实质性要求和条件作出有效响应，包括A 按照竞争性谈判文件要求全面做出响应保证或做出的响应保证有较大瑕疵的；B 响应文件未经响应人盖章和响应人法定代表人（或授权委托人）签字，或虽有授权委托人签字，但授权委托书上无法定代表人签字的；C 响应文件载明的竞争性谈判业务完成期限超过了竞争性谈判文件规定期限的；D 明显不符合技术规格、技术标准要求的；E 响应文件载明的货物包装方式、检验标准和方法等不符合竞争性谈判文件要求的；F 响应文件中另行附有竞争性谈判邀请人不能接受的条件的；G 不符合竞争性谈判文件中规定的其他实质性要求的）</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84"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6</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澄清、说明或者补正</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应按照要求对响应文件进行澄清、说明或者补正的</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2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7</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ascii="宋体" w:hAnsi="宋体" w:cs="宋体"/>
                      <w:kern w:val="0"/>
                      <w:sz w:val="22"/>
                      <w:szCs w:val="22"/>
                    </w:rPr>
                    <w:t>竞争性选商的</w:t>
                  </w:r>
                  <w:r>
                    <w:rPr>
                      <w:rFonts w:hint="eastAsia" w:ascii="宋体" w:hAnsi="宋体" w:cs="宋体"/>
                      <w:kern w:val="0"/>
                      <w:sz w:val="22"/>
                      <w:szCs w:val="22"/>
                    </w:rPr>
                    <w:t>响应</w:t>
                  </w:r>
                  <w:r>
                    <w:rPr>
                      <w:rFonts w:ascii="宋体" w:hAnsi="宋体" w:cs="宋体"/>
                      <w:kern w:val="0"/>
                      <w:sz w:val="22"/>
                      <w:szCs w:val="22"/>
                    </w:rPr>
                    <w:t>人数量</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符合</w:t>
                  </w:r>
                  <w:r>
                    <w:rPr>
                      <w:rFonts w:ascii="宋体" w:hAnsi="宋体" w:cs="宋体"/>
                      <w:color w:val="FF0000"/>
                      <w:kern w:val="0"/>
                      <w:sz w:val="22"/>
                      <w:szCs w:val="22"/>
                    </w:rPr>
                    <w:t>竞争性选商的</w:t>
                  </w:r>
                  <w:r>
                    <w:rPr>
                      <w:rFonts w:hint="eastAsia" w:ascii="宋体" w:hAnsi="宋体" w:cs="宋体"/>
                      <w:color w:val="FF0000"/>
                      <w:kern w:val="0"/>
                      <w:sz w:val="22"/>
                      <w:szCs w:val="22"/>
                    </w:rPr>
                    <w:t>响应</w:t>
                  </w:r>
                  <w:r>
                    <w:rPr>
                      <w:rFonts w:ascii="宋体" w:hAnsi="宋体" w:cs="宋体"/>
                      <w:color w:val="FF0000"/>
                      <w:kern w:val="0"/>
                      <w:sz w:val="22"/>
                      <w:szCs w:val="22"/>
                    </w:rPr>
                    <w:t>人数量要求</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2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8</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HSE专项评审得分</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（工程施工适用）HSE专项评审得分应高于或等于80分</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不适用</w:t>
                  </w:r>
                </w:p>
              </w:tc>
            </w:tr>
            <w:tr>
              <w:tblPrEx>
                <w:tblCellMar>
                  <w:top w:w="0" w:type="dxa"/>
                  <w:left w:w="108" w:type="dxa"/>
                  <w:bottom w:w="0" w:type="dxa"/>
                  <w:right w:w="108" w:type="dxa"/>
                </w:tblCellMar>
              </w:tblPrEx>
              <w:trPr>
                <w:trHeight w:val="72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9</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ascii="宋体" w:hAnsi="宋体" w:cs="宋体"/>
                      <w:color w:val="FF0000"/>
                      <w:kern w:val="0"/>
                      <w:sz w:val="22"/>
                      <w:szCs w:val="22"/>
                    </w:rPr>
                    <w:t>信用平台备案</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w:t>
                  </w:r>
                  <w:r>
                    <w:rPr>
                      <w:rFonts w:ascii="宋体" w:hAnsi="宋体" w:cs="宋体"/>
                      <w:color w:val="FF0000"/>
                      <w:kern w:val="0"/>
                      <w:sz w:val="22"/>
                      <w:szCs w:val="22"/>
                    </w:rPr>
                    <w:t>环保技术咨询</w:t>
                  </w:r>
                  <w:r>
                    <w:rPr>
                      <w:rFonts w:hint="eastAsia" w:ascii="宋体" w:hAnsi="宋体" w:cs="宋体"/>
                      <w:color w:val="FF0000"/>
                      <w:kern w:val="0"/>
                      <w:sz w:val="22"/>
                      <w:szCs w:val="22"/>
                    </w:rPr>
                    <w:t>适用）须</w:t>
                  </w:r>
                  <w:r>
                    <w:rPr>
                      <w:rFonts w:ascii="宋体" w:hAnsi="宋体" w:cs="宋体"/>
                      <w:color w:val="FF0000"/>
                      <w:kern w:val="0"/>
                      <w:sz w:val="22"/>
                      <w:szCs w:val="22"/>
                    </w:rPr>
                    <w:t>在生态环境部环境影响评价信用平台备案的单位。</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lang w:eastAsia="zh-CN"/>
                    </w:rPr>
                    <w:t>不适用</w:t>
                  </w:r>
                </w:p>
              </w:tc>
            </w:tr>
            <w:tr>
              <w:tblPrEx>
                <w:tblCellMar>
                  <w:top w:w="0" w:type="dxa"/>
                  <w:left w:w="108" w:type="dxa"/>
                  <w:bottom w:w="0" w:type="dxa"/>
                  <w:right w:w="108" w:type="dxa"/>
                </w:tblCellMar>
              </w:tblPrEx>
              <w:trPr>
                <w:trHeight w:val="72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20</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ascii="宋体" w:hAnsi="宋体" w:cs="宋体"/>
                      <w:color w:val="FF0000"/>
                      <w:kern w:val="0"/>
                      <w:sz w:val="22"/>
                      <w:szCs w:val="22"/>
                    </w:rPr>
                    <w:t>“黑名单”“限期整改名单”</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w:t>
                  </w:r>
                  <w:r>
                    <w:rPr>
                      <w:rFonts w:ascii="宋体" w:hAnsi="宋体" w:cs="宋体"/>
                      <w:color w:val="FF0000"/>
                      <w:kern w:val="0"/>
                      <w:sz w:val="22"/>
                      <w:szCs w:val="22"/>
                    </w:rPr>
                    <w:t>环保技术咨询</w:t>
                  </w:r>
                  <w:r>
                    <w:rPr>
                      <w:rFonts w:hint="eastAsia" w:ascii="宋体" w:hAnsi="宋体" w:cs="宋体"/>
                      <w:color w:val="FF0000"/>
                      <w:kern w:val="0"/>
                      <w:sz w:val="22"/>
                      <w:szCs w:val="22"/>
                    </w:rPr>
                    <w:t>适用）</w:t>
                  </w:r>
                  <w:r>
                    <w:rPr>
                      <w:rFonts w:ascii="宋体" w:hAnsi="宋体" w:cs="宋体"/>
                      <w:color w:val="FF0000"/>
                      <w:kern w:val="0"/>
                      <w:sz w:val="22"/>
                      <w:szCs w:val="22"/>
                    </w:rPr>
                    <w:t>近两年内，</w:t>
                  </w:r>
                  <w:r>
                    <w:rPr>
                      <w:rFonts w:hint="eastAsia" w:ascii="宋体" w:hAnsi="宋体" w:cs="宋体"/>
                      <w:color w:val="FF0000"/>
                      <w:kern w:val="0"/>
                      <w:sz w:val="22"/>
                      <w:szCs w:val="22"/>
                    </w:rPr>
                    <w:t>未</w:t>
                  </w:r>
                  <w:r>
                    <w:rPr>
                      <w:rFonts w:ascii="宋体" w:hAnsi="宋体" w:cs="宋体"/>
                      <w:color w:val="FF0000"/>
                      <w:kern w:val="0"/>
                      <w:sz w:val="22"/>
                      <w:szCs w:val="22"/>
                    </w:rPr>
                    <w:t>被生态环境部环境影响评价信用平台主管部门列入“黑名单”“限期整改名单”的单位</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lang w:eastAsia="zh-CN"/>
                    </w:rPr>
                    <w:t>不适用</w:t>
                  </w:r>
                </w:p>
              </w:tc>
            </w:tr>
            <w:tr>
              <w:tblPrEx>
                <w:tblCellMar>
                  <w:top w:w="0" w:type="dxa"/>
                  <w:left w:w="108" w:type="dxa"/>
                  <w:bottom w:w="0" w:type="dxa"/>
                  <w:right w:w="108" w:type="dxa"/>
                </w:tblCellMar>
              </w:tblPrEx>
              <w:trPr>
                <w:trHeight w:val="72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1</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ascii="宋体" w:hAnsi="宋体" w:cs="宋体"/>
                      <w:color w:val="FF0000"/>
                      <w:kern w:val="0"/>
                      <w:sz w:val="22"/>
                      <w:szCs w:val="22"/>
                    </w:rPr>
                    <w:t>重点监督检查名单</w:t>
                  </w:r>
                  <w:r>
                    <w:rPr>
                      <w:rFonts w:hint="eastAsia" w:ascii="宋体" w:hAnsi="宋体" w:cs="宋体"/>
                      <w:color w:val="FF0000"/>
                      <w:kern w:val="0"/>
                      <w:sz w:val="22"/>
                      <w:szCs w:val="22"/>
                    </w:rPr>
                    <w:t>及</w:t>
                  </w:r>
                  <w:r>
                    <w:rPr>
                      <w:rFonts w:ascii="宋体" w:hAnsi="宋体" w:cs="宋体"/>
                      <w:color w:val="FF0000"/>
                      <w:kern w:val="0"/>
                      <w:sz w:val="22"/>
                      <w:szCs w:val="22"/>
                    </w:rPr>
                    <w:t>通报</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w:t>
                  </w:r>
                  <w:r>
                    <w:rPr>
                      <w:rFonts w:ascii="宋体" w:hAnsi="宋体" w:cs="宋体"/>
                      <w:color w:val="FF0000"/>
                      <w:kern w:val="0"/>
                      <w:sz w:val="22"/>
                      <w:szCs w:val="22"/>
                    </w:rPr>
                    <w:t>环保技术咨询</w:t>
                  </w:r>
                  <w:r>
                    <w:rPr>
                      <w:rFonts w:hint="eastAsia" w:ascii="宋体" w:hAnsi="宋体" w:cs="宋体"/>
                      <w:color w:val="FF0000"/>
                      <w:kern w:val="0"/>
                      <w:sz w:val="22"/>
                      <w:szCs w:val="22"/>
                    </w:rPr>
                    <w:t>适用）</w:t>
                  </w:r>
                  <w:r>
                    <w:rPr>
                      <w:rFonts w:ascii="宋体" w:hAnsi="宋体" w:cs="宋体"/>
                      <w:color w:val="FF0000"/>
                      <w:kern w:val="0"/>
                      <w:sz w:val="22"/>
                      <w:szCs w:val="22"/>
                    </w:rPr>
                    <w:t>近两年内，</w:t>
                  </w:r>
                  <w:r>
                    <w:rPr>
                      <w:rFonts w:hint="eastAsia" w:ascii="宋体" w:hAnsi="宋体" w:cs="宋体"/>
                      <w:color w:val="FF0000"/>
                      <w:kern w:val="0"/>
                      <w:sz w:val="22"/>
                      <w:szCs w:val="22"/>
                    </w:rPr>
                    <w:t>未</w:t>
                  </w:r>
                  <w:r>
                    <w:rPr>
                      <w:rFonts w:ascii="宋体" w:hAnsi="宋体" w:cs="宋体"/>
                      <w:color w:val="FF0000"/>
                      <w:kern w:val="0"/>
                      <w:sz w:val="22"/>
                      <w:szCs w:val="22"/>
                    </w:rPr>
                    <w:t>被列入环保技术咨询单位重点监督检查名单，且被通报总数</w:t>
                  </w:r>
                  <w:r>
                    <w:rPr>
                      <w:rFonts w:hint="eastAsia" w:ascii="宋体" w:hAnsi="宋体" w:cs="宋体"/>
                      <w:color w:val="FF0000"/>
                      <w:kern w:val="0"/>
                      <w:sz w:val="22"/>
                      <w:szCs w:val="22"/>
                    </w:rPr>
                    <w:t>未</w:t>
                  </w:r>
                  <w:r>
                    <w:rPr>
                      <w:rFonts w:ascii="宋体" w:hAnsi="宋体" w:cs="宋体"/>
                      <w:color w:val="FF0000"/>
                      <w:kern w:val="0"/>
                      <w:sz w:val="22"/>
                      <w:szCs w:val="22"/>
                    </w:rPr>
                    <w:t>达到 3 次及以上单位，或</w:t>
                  </w:r>
                  <w:r>
                    <w:rPr>
                      <w:rFonts w:hint="eastAsia" w:ascii="宋体" w:hAnsi="宋体" w:cs="宋体"/>
                      <w:color w:val="FF0000"/>
                      <w:kern w:val="0"/>
                      <w:sz w:val="22"/>
                      <w:szCs w:val="22"/>
                    </w:rPr>
                    <w:t>未</w:t>
                  </w:r>
                  <w:r>
                    <w:rPr>
                      <w:rFonts w:ascii="宋体" w:hAnsi="宋体" w:cs="宋体"/>
                      <w:color w:val="FF0000"/>
                      <w:kern w:val="0"/>
                      <w:sz w:val="22"/>
                      <w:szCs w:val="22"/>
                    </w:rPr>
                    <w:t>被项目所在地生态环境主管部门通报的技术咨询单位</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lang w:eastAsia="zh-CN"/>
                    </w:rPr>
                    <w:t>不适用</w:t>
                  </w:r>
                </w:p>
              </w:tc>
            </w:tr>
            <w:tr>
              <w:tblPrEx>
                <w:tblCellMar>
                  <w:top w:w="0" w:type="dxa"/>
                  <w:left w:w="108" w:type="dxa"/>
                  <w:bottom w:w="0" w:type="dxa"/>
                  <w:right w:w="108" w:type="dxa"/>
                </w:tblCellMar>
              </w:tblPrEx>
              <w:trPr>
                <w:trHeight w:val="72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22</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其它</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没有国家法律法规、总部制度和本规定要求的其他应当否决响应的情况</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23</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报价唯一性</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商务标报价符合邀请文件格式要求，且只能有一个有效报价</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24</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报价有效性</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报价未超过方案中设定的最高限价（最高限价计算方法）</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default" w:ascii="宋体" w:hAnsi="宋体" w:eastAsia="宋体" w:cs="宋体"/>
                      <w:color w:val="000000"/>
                      <w:kern w:val="0"/>
                      <w:sz w:val="22"/>
                      <w:szCs w:val="22"/>
                      <w:highlight w:val="yellow"/>
                      <w:lang w:val="en-US" w:eastAsia="zh-CN"/>
                    </w:rPr>
                  </w:pPr>
                  <w:r>
                    <w:rPr>
                      <w:rFonts w:hint="eastAsia" w:ascii="宋体" w:hAnsi="宋体" w:cs="宋体"/>
                      <w:b/>
                      <w:bCs/>
                      <w:i/>
                      <w:iCs/>
                      <w:color w:val="FF0000"/>
                      <w:kern w:val="0"/>
                      <w:sz w:val="22"/>
                      <w:szCs w:val="22"/>
                      <w:highlight w:val="yellow"/>
                      <w:lang w:eastAsia="zh-CN"/>
                    </w:rPr>
                    <w:t>船船过驳价格不超过</w:t>
                  </w:r>
                  <w:r>
                    <w:rPr>
                      <w:rFonts w:hint="eastAsia" w:ascii="宋体" w:hAnsi="宋体" w:cs="宋体"/>
                      <w:b/>
                      <w:bCs/>
                      <w:i/>
                      <w:iCs/>
                      <w:color w:val="FF0000"/>
                      <w:kern w:val="0"/>
                      <w:sz w:val="22"/>
                      <w:szCs w:val="22"/>
                      <w:highlight w:val="yellow"/>
                      <w:lang w:val="en-US" w:eastAsia="zh-CN"/>
                    </w:rPr>
                    <w:t>13.5元/吨，船岸船过驳价格不超过19.5元/吨</w:t>
                  </w:r>
                </w:p>
              </w:tc>
            </w:tr>
            <w:tr>
              <w:tblPrEx>
                <w:tblCellMar>
                  <w:top w:w="0" w:type="dxa"/>
                  <w:left w:w="108" w:type="dxa"/>
                  <w:bottom w:w="0" w:type="dxa"/>
                  <w:right w:w="108" w:type="dxa"/>
                </w:tblCellMar>
              </w:tblPrEx>
              <w:trPr>
                <w:trHeight w:val="840" w:hRule="atLeast"/>
              </w:trPr>
              <w:tc>
                <w:tcPr>
                  <w:tcW w:w="14720"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jc w:val="left"/>
                    <w:rPr>
                      <w:rFonts w:ascii="宋体" w:hAnsi="宋体" w:cs="宋体"/>
                      <w:b/>
                      <w:bCs/>
                      <w:color w:val="000000"/>
                      <w:kern w:val="0"/>
                      <w:sz w:val="22"/>
                      <w:szCs w:val="22"/>
                    </w:rPr>
                  </w:pPr>
                  <w:r>
                    <w:rPr>
                      <w:rFonts w:hint="eastAsia" w:ascii="宋体" w:hAnsi="宋体" w:cs="宋体"/>
                      <w:b/>
                      <w:bCs/>
                      <w:color w:val="000000"/>
                      <w:kern w:val="0"/>
                      <w:sz w:val="22"/>
                      <w:szCs w:val="22"/>
                    </w:rPr>
                    <w:t>二、商务部分评分项：权重</w:t>
                  </w:r>
                  <w:r>
                    <w:rPr>
                      <w:rFonts w:ascii="宋体" w:hAnsi="宋体" w:cs="宋体"/>
                      <w:b/>
                      <w:bCs/>
                      <w:kern w:val="0"/>
                      <w:sz w:val="22"/>
                      <w:szCs w:val="22"/>
                    </w:rPr>
                    <w:t>100</w:t>
                  </w:r>
                  <w:r>
                    <w:rPr>
                      <w:rFonts w:hint="eastAsia" w:ascii="宋体" w:hAnsi="宋体" w:cs="宋体"/>
                      <w:b/>
                      <w:bCs/>
                      <w:kern w:val="0"/>
                      <w:sz w:val="22"/>
                      <w:szCs w:val="22"/>
                    </w:rPr>
                    <w:t>%（</w:t>
                  </w:r>
                  <w:r>
                    <w:rPr>
                      <w:rFonts w:hint="eastAsia" w:ascii="宋体" w:hAnsi="宋体" w:cs="宋体"/>
                      <w:b/>
                      <w:bCs/>
                      <w:color w:val="000000"/>
                      <w:kern w:val="0"/>
                      <w:sz w:val="22"/>
                      <w:szCs w:val="22"/>
                    </w:rPr>
                    <w:t>若有分项报价的，应按总价进行评审打分）</w:t>
                  </w:r>
                </w:p>
              </w:tc>
            </w:tr>
            <w:tr>
              <w:tblPrEx>
                <w:tblCellMar>
                  <w:top w:w="0" w:type="dxa"/>
                  <w:left w:w="108" w:type="dxa"/>
                  <w:bottom w:w="0" w:type="dxa"/>
                  <w:right w:w="108" w:type="dxa"/>
                </w:tblCellMar>
              </w:tblPrEx>
              <w:trPr>
                <w:trHeight w:val="465"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9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评分项目</w:t>
                  </w:r>
                </w:p>
              </w:tc>
              <w:tc>
                <w:tcPr>
                  <w:tcW w:w="44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评分标准</w:t>
                  </w:r>
                </w:p>
              </w:tc>
              <w:tc>
                <w:tcPr>
                  <w:tcW w:w="5280" w:type="dxa"/>
                  <w:gridSpan w:val="3"/>
                  <w:tcBorders>
                    <w:top w:val="single" w:color="auto" w:sz="4" w:space="0"/>
                    <w:left w:val="nil"/>
                    <w:bottom w:val="single" w:color="auto" w:sz="4" w:space="0"/>
                    <w:right w:val="nil"/>
                  </w:tcBorders>
                  <w:shd w:val="clear" w:color="auto" w:fill="auto"/>
                  <w:noWrap/>
                  <w:vAlign w:val="center"/>
                </w:tcPr>
                <w:p>
                  <w:pPr>
                    <w:widowControl/>
                    <w:spacing w:line="240" w:lineRule="auto"/>
                    <w:jc w:val="center"/>
                    <w:rPr>
                      <w:rFonts w:ascii="宋体" w:hAnsi="宋体" w:cs="宋体"/>
                      <w:b/>
                      <w:bCs/>
                      <w:kern w:val="0"/>
                    </w:rPr>
                  </w:pPr>
                  <w:r>
                    <w:rPr>
                      <w:rFonts w:hint="eastAsia" w:ascii="宋体" w:hAnsi="宋体" w:cs="宋体"/>
                      <w:b/>
                      <w:bCs/>
                      <w:kern w:val="0"/>
                    </w:rPr>
                    <w:t>实际得分</w:t>
                  </w:r>
                </w:p>
              </w:tc>
              <w:tc>
                <w:tcPr>
                  <w:tcW w:w="11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标准分</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675"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b/>
                      <w:bCs/>
                      <w:color w:val="000000"/>
                      <w:kern w:val="0"/>
                      <w:sz w:val="22"/>
                      <w:szCs w:val="22"/>
                    </w:rPr>
                  </w:pPr>
                </w:p>
              </w:tc>
              <w:tc>
                <w:tcPr>
                  <w:tcW w:w="194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b/>
                      <w:bCs/>
                      <w:color w:val="000000"/>
                      <w:kern w:val="0"/>
                      <w:sz w:val="22"/>
                      <w:szCs w:val="22"/>
                    </w:rPr>
                  </w:pPr>
                </w:p>
              </w:tc>
              <w:tc>
                <w:tcPr>
                  <w:tcW w:w="440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b/>
                      <w:bCs/>
                      <w:color w:val="000000"/>
                      <w:kern w:val="0"/>
                      <w:sz w:val="22"/>
                      <w:szCs w:val="22"/>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FF0000"/>
                      <w:kern w:val="0"/>
                    </w:rPr>
                  </w:pPr>
                  <w:r>
                    <w:rPr>
                      <w:rFonts w:hint="eastAsia" w:ascii="宋体" w:hAnsi="宋体" w:cs="宋体"/>
                      <w:b/>
                      <w:bCs/>
                      <w:color w:val="FF0000"/>
                      <w:kern w:val="0"/>
                    </w:rPr>
                    <w:t>响应单位名称1</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FF0000"/>
                      <w:kern w:val="0"/>
                    </w:rPr>
                  </w:pPr>
                  <w:r>
                    <w:rPr>
                      <w:rFonts w:hint="eastAsia" w:ascii="宋体" w:hAnsi="宋体" w:cs="宋体"/>
                      <w:b/>
                      <w:bCs/>
                      <w:color w:val="FF0000"/>
                      <w:kern w:val="0"/>
                    </w:rPr>
                    <w:t>响应单位名称2</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FF0000"/>
                      <w:kern w:val="0"/>
                    </w:rPr>
                  </w:pPr>
                  <w:r>
                    <w:rPr>
                      <w:rFonts w:hint="eastAsia" w:ascii="宋体" w:hAnsi="宋体" w:cs="宋体"/>
                      <w:b/>
                      <w:bCs/>
                      <w:color w:val="FF0000"/>
                      <w:kern w:val="0"/>
                    </w:rPr>
                    <w:t>响应单位名称3</w:t>
                  </w:r>
                </w:p>
              </w:tc>
              <w:tc>
                <w:tcPr>
                  <w:tcW w:w="110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b/>
                      <w:bCs/>
                      <w:color w:val="000000"/>
                      <w:kern w:val="0"/>
                      <w:sz w:val="22"/>
                      <w:szCs w:val="22"/>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180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方案一</w:t>
                  </w:r>
                </w:p>
              </w:tc>
              <w:tc>
                <w:tcPr>
                  <w:tcW w:w="19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最低评价法</w:t>
                  </w:r>
                </w:p>
              </w:tc>
              <w:tc>
                <w:tcPr>
                  <w:tcW w:w="44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1.响应人有效报价=最低有效评审价时：得100分；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2.其余响应人得分=（最低有效评审价/该响应人有效评审价）×100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3.结果保留小数点后二位。</w:t>
                  </w:r>
                </w:p>
              </w:tc>
              <w:tc>
                <w:tcPr>
                  <w:tcW w:w="17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70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color w:val="000000"/>
                      <w:kern w:val="0"/>
                    </w:rPr>
                  </w:pPr>
                </w:p>
              </w:tc>
              <w:tc>
                <w:tcPr>
                  <w:tcW w:w="634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报价部分得分合计</w:t>
                  </w:r>
                </w:p>
              </w:tc>
              <w:tc>
                <w:tcPr>
                  <w:tcW w:w="17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70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color w:val="000000"/>
                      <w:kern w:val="0"/>
                    </w:rPr>
                  </w:pPr>
                </w:p>
              </w:tc>
              <w:tc>
                <w:tcPr>
                  <w:tcW w:w="634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报价部分加权得分（报价部分得分合计×权重）</w:t>
                  </w:r>
                </w:p>
              </w:tc>
              <w:tc>
                <w:tcPr>
                  <w:tcW w:w="17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8" w:hRule="atLeast"/>
              </w:trPr>
              <w:tc>
                <w:tcPr>
                  <w:tcW w:w="740" w:type="dxa"/>
                  <w:tcBorders>
                    <w:top w:val="nil"/>
                    <w:left w:val="nil"/>
                    <w:bottom w:val="nil"/>
                    <w:right w:val="nil"/>
                  </w:tcBorders>
                  <w:shd w:val="clear" w:color="auto" w:fill="auto"/>
                  <w:noWrap/>
                  <w:vAlign w:val="center"/>
                </w:tcPr>
                <w:p>
                  <w:pPr>
                    <w:widowControl/>
                    <w:spacing w:line="240" w:lineRule="auto"/>
                    <w:jc w:val="center"/>
                    <w:rPr>
                      <w:rFonts w:ascii="宋体" w:hAnsi="宋体" w:cs="宋体"/>
                      <w:color w:val="000000"/>
                      <w:kern w:val="0"/>
                    </w:rPr>
                  </w:pPr>
                </w:p>
              </w:tc>
              <w:tc>
                <w:tcPr>
                  <w:tcW w:w="1940" w:type="dxa"/>
                  <w:tcBorders>
                    <w:top w:val="nil"/>
                    <w:left w:val="nil"/>
                    <w:bottom w:val="nil"/>
                    <w:right w:val="nil"/>
                  </w:tcBorders>
                  <w:shd w:val="clear" w:color="auto" w:fill="auto"/>
                  <w:noWrap/>
                  <w:vAlign w:val="center"/>
                </w:tcPr>
                <w:p>
                  <w:pPr>
                    <w:widowControl/>
                    <w:spacing w:line="240" w:lineRule="auto"/>
                    <w:jc w:val="center"/>
                    <w:rPr>
                      <w:rFonts w:eastAsia="Times New Roman"/>
                      <w:kern w:val="0"/>
                      <w:sz w:val="20"/>
                      <w:szCs w:val="20"/>
                    </w:rPr>
                  </w:pPr>
                </w:p>
              </w:tc>
              <w:tc>
                <w:tcPr>
                  <w:tcW w:w="4400" w:type="dxa"/>
                  <w:tcBorders>
                    <w:top w:val="nil"/>
                    <w:left w:val="nil"/>
                    <w:bottom w:val="nil"/>
                    <w:right w:val="nil"/>
                  </w:tcBorders>
                  <w:shd w:val="clear" w:color="auto" w:fill="auto"/>
                  <w:noWrap/>
                  <w:vAlign w:val="center"/>
                </w:tcPr>
                <w:p>
                  <w:pPr>
                    <w:widowControl/>
                    <w:spacing w:line="240" w:lineRule="auto"/>
                    <w:jc w:val="center"/>
                    <w:rPr>
                      <w:rFonts w:eastAsia="Times New Roman"/>
                      <w:kern w:val="0"/>
                      <w:sz w:val="20"/>
                      <w:szCs w:val="20"/>
                    </w:rPr>
                  </w:pPr>
                </w:p>
              </w:tc>
              <w:tc>
                <w:tcPr>
                  <w:tcW w:w="1760" w:type="dxa"/>
                  <w:tcBorders>
                    <w:top w:val="nil"/>
                    <w:left w:val="nil"/>
                    <w:bottom w:val="nil"/>
                    <w:right w:val="nil"/>
                  </w:tcBorders>
                  <w:shd w:val="clear" w:color="auto" w:fill="auto"/>
                  <w:noWrap/>
                  <w:vAlign w:val="center"/>
                </w:tcPr>
                <w:p>
                  <w:pPr>
                    <w:widowControl/>
                    <w:spacing w:line="240" w:lineRule="auto"/>
                    <w:jc w:val="left"/>
                    <w:rPr>
                      <w:rFonts w:eastAsia="Times New Roman"/>
                      <w:kern w:val="0"/>
                      <w:sz w:val="20"/>
                      <w:szCs w:val="20"/>
                    </w:rPr>
                  </w:pPr>
                </w:p>
              </w:tc>
              <w:tc>
                <w:tcPr>
                  <w:tcW w:w="1760" w:type="dxa"/>
                  <w:tcBorders>
                    <w:top w:val="nil"/>
                    <w:left w:val="nil"/>
                    <w:bottom w:val="nil"/>
                    <w:right w:val="nil"/>
                  </w:tcBorders>
                  <w:shd w:val="clear" w:color="auto" w:fill="auto"/>
                  <w:noWrap/>
                  <w:vAlign w:val="center"/>
                </w:tcPr>
                <w:p>
                  <w:pPr>
                    <w:widowControl/>
                    <w:spacing w:line="240" w:lineRule="auto"/>
                    <w:jc w:val="left"/>
                    <w:rPr>
                      <w:rFonts w:eastAsia="Times New Roman"/>
                      <w:kern w:val="0"/>
                      <w:sz w:val="20"/>
                      <w:szCs w:val="20"/>
                    </w:rPr>
                  </w:pPr>
                </w:p>
              </w:tc>
              <w:tc>
                <w:tcPr>
                  <w:tcW w:w="1760" w:type="dxa"/>
                  <w:tcBorders>
                    <w:top w:val="nil"/>
                    <w:left w:val="nil"/>
                    <w:bottom w:val="nil"/>
                    <w:right w:val="nil"/>
                  </w:tcBorders>
                  <w:shd w:val="clear" w:color="auto" w:fill="auto"/>
                  <w:noWrap/>
                  <w:vAlign w:val="center"/>
                </w:tcPr>
                <w:p>
                  <w:pPr>
                    <w:widowControl/>
                    <w:spacing w:line="240" w:lineRule="auto"/>
                    <w:jc w:val="left"/>
                    <w:rPr>
                      <w:rFonts w:eastAsia="Times New Roman"/>
                      <w:kern w:val="0"/>
                      <w:sz w:val="20"/>
                      <w:szCs w:val="20"/>
                    </w:rPr>
                  </w:pPr>
                </w:p>
              </w:tc>
              <w:tc>
                <w:tcPr>
                  <w:tcW w:w="1100" w:type="dxa"/>
                  <w:tcBorders>
                    <w:top w:val="nil"/>
                    <w:left w:val="nil"/>
                    <w:bottom w:val="nil"/>
                    <w:right w:val="nil"/>
                  </w:tcBorders>
                  <w:shd w:val="clear" w:color="auto" w:fill="auto"/>
                  <w:noWrap/>
                  <w:vAlign w:val="center"/>
                </w:tcPr>
                <w:p>
                  <w:pPr>
                    <w:widowControl/>
                    <w:spacing w:line="240" w:lineRule="auto"/>
                    <w:jc w:val="left"/>
                    <w:rPr>
                      <w:rFonts w:eastAsia="Times New Roman"/>
                      <w:kern w:val="0"/>
                      <w:sz w:val="20"/>
                      <w:szCs w:val="20"/>
                    </w:rPr>
                  </w:pPr>
                </w:p>
              </w:tc>
              <w:tc>
                <w:tcPr>
                  <w:tcW w:w="1260" w:type="dxa"/>
                  <w:tcBorders>
                    <w:top w:val="nil"/>
                    <w:left w:val="nil"/>
                    <w:bottom w:val="nil"/>
                    <w:right w:val="nil"/>
                  </w:tcBorders>
                  <w:shd w:val="clear" w:color="auto" w:fill="auto"/>
                  <w:noWrap/>
                  <w:vAlign w:val="center"/>
                </w:tcPr>
                <w:p>
                  <w:pPr>
                    <w:widowControl/>
                    <w:spacing w:line="240" w:lineRule="auto"/>
                    <w:jc w:val="left"/>
                    <w:rPr>
                      <w:rFonts w:eastAsia="Times New Roman"/>
                      <w:kern w:val="0"/>
                      <w:sz w:val="20"/>
                      <w:szCs w:val="20"/>
                    </w:rPr>
                  </w:pPr>
                </w:p>
              </w:tc>
            </w:tr>
            <w:tr>
              <w:tblPrEx>
                <w:tblCellMar>
                  <w:top w:w="0" w:type="dxa"/>
                  <w:left w:w="108" w:type="dxa"/>
                  <w:bottom w:w="0" w:type="dxa"/>
                  <w:right w:w="108" w:type="dxa"/>
                </w:tblCellMar>
              </w:tblPrEx>
              <w:trPr>
                <w:trHeight w:val="312" w:hRule="atLeast"/>
              </w:trPr>
              <w:tc>
                <w:tcPr>
                  <w:tcW w:w="7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9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评分项目</w:t>
                  </w:r>
                </w:p>
              </w:tc>
              <w:tc>
                <w:tcPr>
                  <w:tcW w:w="44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评分标准</w:t>
                  </w:r>
                </w:p>
              </w:tc>
              <w:tc>
                <w:tcPr>
                  <w:tcW w:w="5280" w:type="dxa"/>
                  <w:gridSpan w:val="3"/>
                  <w:tcBorders>
                    <w:top w:val="single" w:color="auto" w:sz="4" w:space="0"/>
                    <w:left w:val="nil"/>
                    <w:bottom w:val="single" w:color="auto" w:sz="4" w:space="0"/>
                    <w:right w:val="nil"/>
                  </w:tcBorders>
                  <w:shd w:val="clear" w:color="auto" w:fill="auto"/>
                  <w:noWrap/>
                  <w:vAlign w:val="center"/>
                </w:tcPr>
                <w:p>
                  <w:pPr>
                    <w:widowControl/>
                    <w:spacing w:line="240" w:lineRule="auto"/>
                    <w:jc w:val="center"/>
                    <w:rPr>
                      <w:rFonts w:ascii="宋体" w:hAnsi="宋体" w:cs="宋体"/>
                      <w:b/>
                      <w:bCs/>
                      <w:kern w:val="0"/>
                    </w:rPr>
                  </w:pPr>
                  <w:r>
                    <w:rPr>
                      <w:rFonts w:hint="eastAsia" w:ascii="宋体" w:hAnsi="宋体" w:cs="宋体"/>
                      <w:b/>
                      <w:bCs/>
                      <w:kern w:val="0"/>
                    </w:rPr>
                    <w:t>实际得分</w:t>
                  </w:r>
                </w:p>
              </w:tc>
              <w:tc>
                <w:tcPr>
                  <w:tcW w:w="11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标准分</w:t>
                  </w:r>
                </w:p>
              </w:tc>
              <w:tc>
                <w:tcPr>
                  <w:tcW w:w="12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798" w:hRule="atLeast"/>
              </w:trPr>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b/>
                      <w:bCs/>
                      <w:color w:val="000000"/>
                      <w:kern w:val="0"/>
                      <w:sz w:val="22"/>
                      <w:szCs w:val="22"/>
                    </w:rPr>
                  </w:pPr>
                </w:p>
              </w:tc>
              <w:tc>
                <w:tcPr>
                  <w:tcW w:w="19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b/>
                      <w:bCs/>
                      <w:color w:val="000000"/>
                      <w:kern w:val="0"/>
                      <w:sz w:val="22"/>
                      <w:szCs w:val="22"/>
                    </w:rPr>
                  </w:pPr>
                </w:p>
              </w:tc>
              <w:tc>
                <w:tcPr>
                  <w:tcW w:w="44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b/>
                      <w:bCs/>
                      <w:color w:val="000000"/>
                      <w:kern w:val="0"/>
                      <w:sz w:val="22"/>
                      <w:szCs w:val="22"/>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FF0000"/>
                      <w:kern w:val="0"/>
                    </w:rPr>
                  </w:pPr>
                  <w:r>
                    <w:rPr>
                      <w:rFonts w:hint="eastAsia" w:ascii="宋体" w:hAnsi="宋体" w:cs="宋体"/>
                      <w:b/>
                      <w:bCs/>
                      <w:color w:val="FF0000"/>
                      <w:kern w:val="0"/>
                    </w:rPr>
                    <w:t>响应单位名称1</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FF0000"/>
                      <w:kern w:val="0"/>
                    </w:rPr>
                  </w:pPr>
                  <w:r>
                    <w:rPr>
                      <w:rFonts w:hint="eastAsia" w:ascii="宋体" w:hAnsi="宋体" w:cs="宋体"/>
                      <w:b/>
                      <w:bCs/>
                      <w:color w:val="FF0000"/>
                      <w:kern w:val="0"/>
                    </w:rPr>
                    <w:t>响应单位名称2</w:t>
                  </w: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FF0000"/>
                      <w:kern w:val="0"/>
                    </w:rPr>
                  </w:pPr>
                  <w:r>
                    <w:rPr>
                      <w:rFonts w:hint="eastAsia" w:ascii="宋体" w:hAnsi="宋体" w:cs="宋体"/>
                      <w:b/>
                      <w:bCs/>
                      <w:color w:val="FF0000"/>
                      <w:kern w:val="0"/>
                    </w:rPr>
                    <w:t>响应单位名称3</w:t>
                  </w:r>
                </w:p>
              </w:tc>
              <w:tc>
                <w:tcPr>
                  <w:tcW w:w="11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b/>
                      <w:bCs/>
                      <w:color w:val="000000"/>
                      <w:kern w:val="0"/>
                      <w:sz w:val="22"/>
                      <w:szCs w:val="22"/>
                    </w:rPr>
                  </w:pPr>
                </w:p>
              </w:tc>
              <w:tc>
                <w:tcPr>
                  <w:tcW w:w="12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108"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方案二</w:t>
                  </w:r>
                </w:p>
              </w:tc>
              <w:tc>
                <w:tcPr>
                  <w:tcW w:w="1940" w:type="dxa"/>
                  <w:tcBorders>
                    <w:top w:val="nil"/>
                    <w:left w:val="nil"/>
                    <w:bottom w:val="single" w:color="auto" w:sz="4" w:space="0"/>
                    <w:right w:val="single" w:color="auto" w:sz="4" w:space="0"/>
                  </w:tcBorders>
                  <w:shd w:val="clear" w:color="auto" w:fill="auto"/>
                  <w:vAlign w:val="center"/>
                </w:tcPr>
                <w:p>
                  <w:pPr>
                    <w:widowControl/>
                    <w:spacing w:after="240" w:line="240" w:lineRule="auto"/>
                    <w:jc w:val="center"/>
                    <w:rPr>
                      <w:rFonts w:ascii="宋体" w:hAnsi="宋体" w:cs="宋体"/>
                      <w:color w:val="000000"/>
                      <w:kern w:val="0"/>
                      <w:sz w:val="22"/>
                      <w:szCs w:val="22"/>
                    </w:rPr>
                  </w:pP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响应报价</w:t>
                  </w:r>
                  <w:r>
                    <w:rPr>
                      <w:rFonts w:hint="eastAsia" w:ascii="宋体" w:hAnsi="宋体" w:cs="宋体"/>
                      <w:color w:val="000000"/>
                      <w:kern w:val="0"/>
                      <w:sz w:val="22"/>
                      <w:szCs w:val="22"/>
                    </w:rPr>
                    <w:br w:type="textWrapping"/>
                  </w:r>
                  <w:r>
                    <w:rPr>
                      <w:rFonts w:hint="eastAsia" w:ascii="宋体" w:hAnsi="宋体" w:cs="宋体"/>
                      <w:b/>
                      <w:bCs/>
                      <w:color w:val="000000"/>
                      <w:kern w:val="0"/>
                      <w:sz w:val="22"/>
                      <w:szCs w:val="22"/>
                    </w:rPr>
                    <w:t>（</w:t>
                  </w:r>
                  <w:r>
                    <w:rPr>
                      <w:rFonts w:hint="eastAsia" w:ascii="宋体" w:hAnsi="宋体" w:cs="宋体"/>
                      <w:b/>
                      <w:bCs/>
                      <w:kern w:val="0"/>
                      <w:sz w:val="22"/>
                      <w:szCs w:val="22"/>
                    </w:rPr>
                    <w:t>降点率%</w:t>
                  </w:r>
                  <w:r>
                    <w:rPr>
                      <w:rFonts w:hint="eastAsia" w:ascii="宋体" w:hAnsi="宋体" w:cs="宋体"/>
                      <w:b/>
                      <w:bCs/>
                      <w:color w:val="000000"/>
                      <w:kern w:val="0"/>
                      <w:sz w:val="22"/>
                      <w:szCs w:val="22"/>
                    </w:rPr>
                    <w:t>）</w:t>
                  </w:r>
                </w:p>
              </w:tc>
              <w:tc>
                <w:tcPr>
                  <w:tcW w:w="4400" w:type="dxa"/>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1.评审基准价：</w:t>
                  </w:r>
                  <w:r>
                    <w:rPr>
                      <w:rFonts w:hint="eastAsia" w:ascii="宋体" w:hAnsi="宋体" w:cs="宋体"/>
                      <w:kern w:val="0"/>
                      <w:sz w:val="22"/>
                      <w:szCs w:val="22"/>
                    </w:rPr>
                    <w:br w:type="textWrapping"/>
                  </w:r>
                  <w:r>
                    <w:rPr>
                      <w:rFonts w:hint="eastAsia" w:ascii="宋体" w:hAnsi="宋体" w:cs="宋体"/>
                      <w:kern w:val="0"/>
                      <w:sz w:val="22"/>
                      <w:szCs w:val="22"/>
                    </w:rPr>
                    <w:t>取所有有效响应报价（降点率%）的最大下浮降点率作为评审基准价。</w:t>
                  </w:r>
                  <w:r>
                    <w:rPr>
                      <w:rFonts w:hint="eastAsia" w:ascii="宋体" w:hAnsi="宋体" w:cs="宋体"/>
                      <w:kern w:val="0"/>
                      <w:sz w:val="22"/>
                      <w:szCs w:val="22"/>
                    </w:rPr>
                    <w:br w:type="textWrapping"/>
                  </w:r>
                  <w:r>
                    <w:rPr>
                      <w:rFonts w:hint="eastAsia" w:ascii="宋体" w:hAnsi="宋体" w:cs="宋体"/>
                      <w:kern w:val="0"/>
                      <w:sz w:val="22"/>
                      <w:szCs w:val="22"/>
                    </w:rPr>
                    <w:t>2.响应报价（降点率%）得分：</w:t>
                  </w:r>
                  <w:r>
                    <w:rPr>
                      <w:rFonts w:hint="eastAsia" w:ascii="宋体" w:hAnsi="宋体" w:cs="宋体"/>
                      <w:kern w:val="0"/>
                      <w:sz w:val="22"/>
                      <w:szCs w:val="22"/>
                    </w:rPr>
                    <w:br w:type="textWrapping"/>
                  </w:r>
                  <w:r>
                    <w:rPr>
                      <w:rFonts w:hint="eastAsia" w:ascii="宋体" w:hAnsi="宋体" w:cs="宋体"/>
                      <w:kern w:val="0"/>
                      <w:sz w:val="22"/>
                      <w:szCs w:val="22"/>
                    </w:rPr>
                    <w:t>(1)经评审的有效响应报价=评审基准价时，得100分；</w:t>
                  </w:r>
                  <w:r>
                    <w:rPr>
                      <w:rFonts w:hint="eastAsia" w:ascii="宋体" w:hAnsi="宋体" w:cs="宋体"/>
                      <w:kern w:val="0"/>
                      <w:sz w:val="22"/>
                      <w:szCs w:val="22"/>
                    </w:rPr>
                    <w:br w:type="textWrapping"/>
                  </w:r>
                  <w:r>
                    <w:rPr>
                      <w:rFonts w:hint="eastAsia" w:ascii="宋体" w:hAnsi="宋体" w:cs="宋体"/>
                      <w:kern w:val="0"/>
                      <w:sz w:val="22"/>
                      <w:szCs w:val="22"/>
                    </w:rPr>
                    <w:t>(2)响应报价得分=100-〔（评审基准价-有效响应报价）×100×</w:t>
                  </w:r>
                  <w:r>
                    <w:rPr>
                      <w:rFonts w:hint="eastAsia" w:ascii="宋体" w:hAnsi="宋体" w:cs="宋体"/>
                      <w:color w:val="FF0000"/>
                      <w:kern w:val="0"/>
                      <w:sz w:val="22"/>
                      <w:szCs w:val="22"/>
                    </w:rPr>
                    <w:t>6</w:t>
                  </w:r>
                  <w:r>
                    <w:rPr>
                      <w:rFonts w:hint="eastAsia" w:ascii="宋体" w:hAnsi="宋体" w:cs="宋体"/>
                      <w:kern w:val="0"/>
                      <w:sz w:val="22"/>
                      <w:szCs w:val="22"/>
                    </w:rPr>
                    <w:t>〕,若计算结果低于0分，则按0分计；</w:t>
                  </w:r>
                  <w:r>
                    <w:rPr>
                      <w:rFonts w:hint="eastAsia" w:ascii="宋体" w:hAnsi="宋体" w:cs="宋体"/>
                      <w:kern w:val="0"/>
                      <w:sz w:val="22"/>
                      <w:szCs w:val="22"/>
                    </w:rPr>
                    <w:br w:type="textWrapping"/>
                  </w:r>
                  <w:r>
                    <w:rPr>
                      <w:rFonts w:hint="eastAsia" w:ascii="宋体" w:hAnsi="宋体" w:cs="宋体"/>
                      <w:kern w:val="0"/>
                      <w:sz w:val="22"/>
                      <w:szCs w:val="22"/>
                    </w:rPr>
                    <w:t>(3)结果保留小数点后二位。</w:t>
                  </w:r>
                </w:p>
              </w:tc>
              <w:tc>
                <w:tcPr>
                  <w:tcW w:w="1760" w:type="dxa"/>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　</w:t>
                  </w:r>
                </w:p>
              </w:tc>
              <w:tc>
                <w:tcPr>
                  <w:tcW w:w="1760" w:type="dxa"/>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　</w:t>
                  </w:r>
                </w:p>
              </w:tc>
              <w:tc>
                <w:tcPr>
                  <w:tcW w:w="1760" w:type="dxa"/>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rPr>
                  </w:pPr>
                  <w:r>
                    <w:rPr>
                      <w:rFonts w:hint="eastAsia" w:ascii="宋体" w:hAnsi="宋体" w:cs="宋体"/>
                      <w:color w:val="000000"/>
                      <w:kern w:val="0"/>
                    </w:rPr>
                    <w:t>公式中的“</w:t>
                  </w:r>
                  <w:r>
                    <w:rPr>
                      <w:rFonts w:hint="eastAsia" w:ascii="宋体" w:hAnsi="宋体" w:cs="宋体"/>
                      <w:color w:val="FF0000"/>
                      <w:kern w:val="0"/>
                    </w:rPr>
                    <w:t>6</w:t>
                  </w:r>
                  <w:r>
                    <w:rPr>
                      <w:rFonts w:hint="eastAsia" w:ascii="宋体" w:hAnsi="宋体" w:cs="宋体"/>
                      <w:kern w:val="0"/>
                    </w:rPr>
                    <w:t>”</w:t>
                  </w:r>
                  <w:r>
                    <w:rPr>
                      <w:rFonts w:hint="eastAsia" w:ascii="宋体" w:hAnsi="宋体" w:cs="宋体"/>
                      <w:color w:val="000000"/>
                      <w:kern w:val="0"/>
                    </w:rPr>
                    <w:t>为系数</w:t>
                  </w:r>
                  <w:r>
                    <w:rPr>
                      <w:rFonts w:hint="eastAsia" w:ascii="宋体" w:hAnsi="宋体" w:cs="宋体"/>
                      <w:kern w:val="0"/>
                    </w:rPr>
                    <w:t>，可根据不同业务过往经验调整。</w:t>
                  </w:r>
                </w:p>
              </w:tc>
            </w:tr>
            <w:tr>
              <w:tblPrEx>
                <w:tblCellMar>
                  <w:top w:w="0" w:type="dxa"/>
                  <w:left w:w="108" w:type="dxa"/>
                  <w:bottom w:w="0" w:type="dxa"/>
                  <w:right w:w="108" w:type="dxa"/>
                </w:tblCellMar>
              </w:tblPrEx>
              <w:trPr>
                <w:trHeight w:val="70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color w:val="000000"/>
                      <w:kern w:val="0"/>
                    </w:rPr>
                  </w:pPr>
                </w:p>
              </w:tc>
              <w:tc>
                <w:tcPr>
                  <w:tcW w:w="634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报价部分得分合计</w:t>
                  </w:r>
                </w:p>
              </w:tc>
              <w:tc>
                <w:tcPr>
                  <w:tcW w:w="17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70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color w:val="000000"/>
                      <w:kern w:val="0"/>
                    </w:rPr>
                  </w:pPr>
                </w:p>
              </w:tc>
              <w:tc>
                <w:tcPr>
                  <w:tcW w:w="634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报价部分加权得分（报价部分得分合计×权重）</w:t>
                  </w:r>
                </w:p>
              </w:tc>
              <w:tc>
                <w:tcPr>
                  <w:tcW w:w="17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750" w:hRule="atLeast"/>
              </w:trPr>
              <w:tc>
                <w:tcPr>
                  <w:tcW w:w="14720" w:type="dxa"/>
                  <w:gridSpan w:val="8"/>
                  <w:tcBorders>
                    <w:top w:val="single" w:color="auto" w:sz="4" w:space="0"/>
                    <w:left w:val="nil"/>
                    <w:bottom w:val="nil"/>
                    <w:right w:val="nil"/>
                  </w:tcBorders>
                  <w:shd w:val="clear" w:color="auto" w:fill="auto"/>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使用说明：上述方案供业务部门参考选用！业务部门也可以根据实际需要采用其他商务评审方法，如靶心法等等，但必须事先在邀请文件中写明具体评分规则和计算方法。</w:t>
                  </w:r>
                </w:p>
              </w:tc>
            </w:tr>
          </w:tbl>
          <w:p>
            <w:pPr>
              <w:widowControl/>
              <w:spacing w:line="240" w:lineRule="auto"/>
              <w:jc w:val="left"/>
              <w:rPr>
                <w:b/>
              </w:rPr>
            </w:pPr>
          </w:p>
          <w:p>
            <w:pPr>
              <w:widowControl/>
              <w:spacing w:line="240" w:lineRule="auto"/>
              <w:jc w:val="left"/>
              <w:rPr>
                <w:rFonts w:ascii="宋体" w:hAnsi="宋体" w:cs="宋体"/>
                <w:color w:val="FF0000"/>
                <w:kern w:val="0"/>
                <w:sz w:val="22"/>
                <w:szCs w:val="22"/>
              </w:rPr>
            </w:pPr>
          </w:p>
        </w:tc>
      </w:tr>
    </w:tbl>
    <w:p>
      <w:pPr>
        <w:widowControl/>
        <w:spacing w:line="240" w:lineRule="auto"/>
        <w:jc w:val="left"/>
        <w:rPr>
          <w:rFonts w:eastAsia="仿宋_GB2312"/>
          <w:b/>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851" w:right="709" w:bottom="284" w:left="992" w:header="851" w:footer="992" w:gutter="0"/>
          <w:cols w:space="425" w:num="1"/>
          <w:docGrid w:linePitch="312" w:charSpace="0"/>
        </w:sectPr>
      </w:pPr>
      <w:bookmarkStart w:id="0" w:name="_GoBack"/>
      <w:bookmarkEnd w:id="0"/>
    </w:p>
    <w:p>
      <w:pPr>
        <w:widowControl/>
        <w:spacing w:line="240" w:lineRule="auto"/>
        <w:jc w:val="left"/>
        <w:rPr>
          <w:rFonts w:eastAsia="仿宋_GB2312"/>
          <w:b/>
        </w:rPr>
      </w:pPr>
    </w:p>
    <w:sectPr>
      <w:pgSz w:w="11906" w:h="16838"/>
      <w:pgMar w:top="709" w:right="1133" w:bottom="992" w:left="1276"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7473351"/>
      <w:docPartObj>
        <w:docPartGallery w:val="autotext"/>
      </w:docPartObj>
    </w:sdtPr>
    <w:sdtContent>
      <w:sdt>
        <w:sdtPr>
          <w:id w:val="761111852"/>
          <w:docPartObj>
            <w:docPartGallery w:val="autotext"/>
          </w:docPartObj>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pPr>
      <w:pStyle w:val="7"/>
      <w:tabs>
        <w:tab w:val="left" w:pos="7472"/>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p>
  </w:footnote>
  <w:footnote w:type="continuationSeparator" w:id="1">
    <w:p>
      <w:pPr>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37"/>
    <w:rsid w:val="00001163"/>
    <w:rsid w:val="00003ED9"/>
    <w:rsid w:val="000072B0"/>
    <w:rsid w:val="00012457"/>
    <w:rsid w:val="0001497A"/>
    <w:rsid w:val="00015B38"/>
    <w:rsid w:val="00020852"/>
    <w:rsid w:val="00020D07"/>
    <w:rsid w:val="00021CF5"/>
    <w:rsid w:val="00023C9B"/>
    <w:rsid w:val="00027CBA"/>
    <w:rsid w:val="00027D3F"/>
    <w:rsid w:val="00030C6A"/>
    <w:rsid w:val="00033B0F"/>
    <w:rsid w:val="0003627C"/>
    <w:rsid w:val="00040B13"/>
    <w:rsid w:val="00045254"/>
    <w:rsid w:val="00045409"/>
    <w:rsid w:val="000469C9"/>
    <w:rsid w:val="00046FBE"/>
    <w:rsid w:val="00047F77"/>
    <w:rsid w:val="00052B8C"/>
    <w:rsid w:val="00053AC1"/>
    <w:rsid w:val="000542FD"/>
    <w:rsid w:val="00054316"/>
    <w:rsid w:val="000612D1"/>
    <w:rsid w:val="0006170F"/>
    <w:rsid w:val="00063E14"/>
    <w:rsid w:val="000668FD"/>
    <w:rsid w:val="0008079C"/>
    <w:rsid w:val="000817F5"/>
    <w:rsid w:val="000859FB"/>
    <w:rsid w:val="00085B27"/>
    <w:rsid w:val="000867B4"/>
    <w:rsid w:val="00086CA7"/>
    <w:rsid w:val="00087C6C"/>
    <w:rsid w:val="00091AD0"/>
    <w:rsid w:val="00092820"/>
    <w:rsid w:val="00092B02"/>
    <w:rsid w:val="0009421A"/>
    <w:rsid w:val="00094805"/>
    <w:rsid w:val="00095EFA"/>
    <w:rsid w:val="00097DDA"/>
    <w:rsid w:val="000A1506"/>
    <w:rsid w:val="000A276A"/>
    <w:rsid w:val="000A34E4"/>
    <w:rsid w:val="000A4E69"/>
    <w:rsid w:val="000A7959"/>
    <w:rsid w:val="000B01CF"/>
    <w:rsid w:val="000B753F"/>
    <w:rsid w:val="000C11D1"/>
    <w:rsid w:val="000C486F"/>
    <w:rsid w:val="000C4CD9"/>
    <w:rsid w:val="000C7E23"/>
    <w:rsid w:val="000D0905"/>
    <w:rsid w:val="000D2667"/>
    <w:rsid w:val="000D40A3"/>
    <w:rsid w:val="000D4E6B"/>
    <w:rsid w:val="000D7467"/>
    <w:rsid w:val="000D7947"/>
    <w:rsid w:val="000D7963"/>
    <w:rsid w:val="000E22C7"/>
    <w:rsid w:val="000E4207"/>
    <w:rsid w:val="000E4280"/>
    <w:rsid w:val="000E4E2E"/>
    <w:rsid w:val="000E7045"/>
    <w:rsid w:val="000F04CA"/>
    <w:rsid w:val="000F0896"/>
    <w:rsid w:val="000F0FD2"/>
    <w:rsid w:val="000F2622"/>
    <w:rsid w:val="000F3C19"/>
    <w:rsid w:val="000F446C"/>
    <w:rsid w:val="000F5977"/>
    <w:rsid w:val="0010003F"/>
    <w:rsid w:val="0010401E"/>
    <w:rsid w:val="001059B8"/>
    <w:rsid w:val="001062C3"/>
    <w:rsid w:val="001068A1"/>
    <w:rsid w:val="00110107"/>
    <w:rsid w:val="00117537"/>
    <w:rsid w:val="00120831"/>
    <w:rsid w:val="00120A43"/>
    <w:rsid w:val="00126D95"/>
    <w:rsid w:val="00130AF2"/>
    <w:rsid w:val="00130DB0"/>
    <w:rsid w:val="0013102D"/>
    <w:rsid w:val="00134A51"/>
    <w:rsid w:val="001400E6"/>
    <w:rsid w:val="0014356C"/>
    <w:rsid w:val="00144C92"/>
    <w:rsid w:val="00144FE3"/>
    <w:rsid w:val="00146C2E"/>
    <w:rsid w:val="001475A8"/>
    <w:rsid w:val="00147B77"/>
    <w:rsid w:val="00151572"/>
    <w:rsid w:val="00151863"/>
    <w:rsid w:val="00155031"/>
    <w:rsid w:val="001559F6"/>
    <w:rsid w:val="00160700"/>
    <w:rsid w:val="00160BDC"/>
    <w:rsid w:val="00162319"/>
    <w:rsid w:val="00163ACB"/>
    <w:rsid w:val="001646A6"/>
    <w:rsid w:val="00174275"/>
    <w:rsid w:val="00174DDF"/>
    <w:rsid w:val="00177DB4"/>
    <w:rsid w:val="001801DF"/>
    <w:rsid w:val="00180BBF"/>
    <w:rsid w:val="00181286"/>
    <w:rsid w:val="00184BEB"/>
    <w:rsid w:val="00185609"/>
    <w:rsid w:val="001859BD"/>
    <w:rsid w:val="00191282"/>
    <w:rsid w:val="00191B79"/>
    <w:rsid w:val="00196E8B"/>
    <w:rsid w:val="0019797C"/>
    <w:rsid w:val="001A41BB"/>
    <w:rsid w:val="001A4264"/>
    <w:rsid w:val="001A5A01"/>
    <w:rsid w:val="001A6875"/>
    <w:rsid w:val="001A6FC9"/>
    <w:rsid w:val="001A7570"/>
    <w:rsid w:val="001A7D5C"/>
    <w:rsid w:val="001B2444"/>
    <w:rsid w:val="001B683F"/>
    <w:rsid w:val="001C00BD"/>
    <w:rsid w:val="001C3BCC"/>
    <w:rsid w:val="001C4BFB"/>
    <w:rsid w:val="001C6621"/>
    <w:rsid w:val="001C7230"/>
    <w:rsid w:val="001D1637"/>
    <w:rsid w:val="001D18F4"/>
    <w:rsid w:val="001D3723"/>
    <w:rsid w:val="001D445F"/>
    <w:rsid w:val="001D48DC"/>
    <w:rsid w:val="001D69C0"/>
    <w:rsid w:val="001E210D"/>
    <w:rsid w:val="001E2C22"/>
    <w:rsid w:val="001E396B"/>
    <w:rsid w:val="001E3ED2"/>
    <w:rsid w:val="001E4F39"/>
    <w:rsid w:val="001E5BD6"/>
    <w:rsid w:val="001E6516"/>
    <w:rsid w:val="001F51A1"/>
    <w:rsid w:val="001F5A13"/>
    <w:rsid w:val="001F6447"/>
    <w:rsid w:val="001F6CD2"/>
    <w:rsid w:val="0020001E"/>
    <w:rsid w:val="00200550"/>
    <w:rsid w:val="00202419"/>
    <w:rsid w:val="002030B7"/>
    <w:rsid w:val="002032CA"/>
    <w:rsid w:val="00203A0C"/>
    <w:rsid w:val="00203F0F"/>
    <w:rsid w:val="002056F9"/>
    <w:rsid w:val="00206C65"/>
    <w:rsid w:val="00207DCE"/>
    <w:rsid w:val="00210BF3"/>
    <w:rsid w:val="00212EF7"/>
    <w:rsid w:val="002157D5"/>
    <w:rsid w:val="002158C0"/>
    <w:rsid w:val="00217B27"/>
    <w:rsid w:val="00221B9B"/>
    <w:rsid w:val="002239D2"/>
    <w:rsid w:val="00224672"/>
    <w:rsid w:val="00224D9E"/>
    <w:rsid w:val="00225372"/>
    <w:rsid w:val="0022658F"/>
    <w:rsid w:val="002265D5"/>
    <w:rsid w:val="0022704B"/>
    <w:rsid w:val="00227255"/>
    <w:rsid w:val="00227E3D"/>
    <w:rsid w:val="002309F8"/>
    <w:rsid w:val="00234D98"/>
    <w:rsid w:val="00240418"/>
    <w:rsid w:val="00241868"/>
    <w:rsid w:val="00241F5A"/>
    <w:rsid w:val="00243E1F"/>
    <w:rsid w:val="00243E4E"/>
    <w:rsid w:val="002442EE"/>
    <w:rsid w:val="00245B17"/>
    <w:rsid w:val="00250E21"/>
    <w:rsid w:val="00251C0C"/>
    <w:rsid w:val="00260CBD"/>
    <w:rsid w:val="00262435"/>
    <w:rsid w:val="0026716E"/>
    <w:rsid w:val="002738A0"/>
    <w:rsid w:val="002772EE"/>
    <w:rsid w:val="00280AE5"/>
    <w:rsid w:val="00284762"/>
    <w:rsid w:val="00287638"/>
    <w:rsid w:val="00287B8F"/>
    <w:rsid w:val="00294397"/>
    <w:rsid w:val="00295FA3"/>
    <w:rsid w:val="00296F82"/>
    <w:rsid w:val="002A04AC"/>
    <w:rsid w:val="002A0BD0"/>
    <w:rsid w:val="002A457F"/>
    <w:rsid w:val="002A4AB3"/>
    <w:rsid w:val="002A5CD3"/>
    <w:rsid w:val="002B3FF4"/>
    <w:rsid w:val="002B4FDA"/>
    <w:rsid w:val="002B6E1D"/>
    <w:rsid w:val="002C2A44"/>
    <w:rsid w:val="002C5558"/>
    <w:rsid w:val="002C59C6"/>
    <w:rsid w:val="002D2015"/>
    <w:rsid w:val="002D241C"/>
    <w:rsid w:val="002D46DE"/>
    <w:rsid w:val="002D5261"/>
    <w:rsid w:val="002E07F0"/>
    <w:rsid w:val="002E17B6"/>
    <w:rsid w:val="002E54AF"/>
    <w:rsid w:val="002E561B"/>
    <w:rsid w:val="002E5B4E"/>
    <w:rsid w:val="002E7C3C"/>
    <w:rsid w:val="002F050C"/>
    <w:rsid w:val="002F0AB2"/>
    <w:rsid w:val="002F542E"/>
    <w:rsid w:val="002F550B"/>
    <w:rsid w:val="002F7A60"/>
    <w:rsid w:val="003016B9"/>
    <w:rsid w:val="00304EFA"/>
    <w:rsid w:val="003061C7"/>
    <w:rsid w:val="00311451"/>
    <w:rsid w:val="003126D2"/>
    <w:rsid w:val="0031299C"/>
    <w:rsid w:val="003136CC"/>
    <w:rsid w:val="00314FAE"/>
    <w:rsid w:val="003228CD"/>
    <w:rsid w:val="00325BCB"/>
    <w:rsid w:val="003278C8"/>
    <w:rsid w:val="00333695"/>
    <w:rsid w:val="0033561C"/>
    <w:rsid w:val="00340C6F"/>
    <w:rsid w:val="0034135B"/>
    <w:rsid w:val="003423BF"/>
    <w:rsid w:val="003427B5"/>
    <w:rsid w:val="00353374"/>
    <w:rsid w:val="003536B6"/>
    <w:rsid w:val="003555C2"/>
    <w:rsid w:val="0035798F"/>
    <w:rsid w:val="00357B30"/>
    <w:rsid w:val="0036064F"/>
    <w:rsid w:val="00362A33"/>
    <w:rsid w:val="00362BC7"/>
    <w:rsid w:val="00365ACF"/>
    <w:rsid w:val="0036734C"/>
    <w:rsid w:val="00373106"/>
    <w:rsid w:val="003764E3"/>
    <w:rsid w:val="003770D2"/>
    <w:rsid w:val="003826A4"/>
    <w:rsid w:val="00382778"/>
    <w:rsid w:val="00386E9F"/>
    <w:rsid w:val="00386FCD"/>
    <w:rsid w:val="00387C83"/>
    <w:rsid w:val="00391788"/>
    <w:rsid w:val="00391F62"/>
    <w:rsid w:val="00392EE1"/>
    <w:rsid w:val="00393CC9"/>
    <w:rsid w:val="00396770"/>
    <w:rsid w:val="003A06D0"/>
    <w:rsid w:val="003A1449"/>
    <w:rsid w:val="003A1D82"/>
    <w:rsid w:val="003A2059"/>
    <w:rsid w:val="003A28A2"/>
    <w:rsid w:val="003A3D55"/>
    <w:rsid w:val="003A6C97"/>
    <w:rsid w:val="003A7467"/>
    <w:rsid w:val="003B6495"/>
    <w:rsid w:val="003B71BC"/>
    <w:rsid w:val="003B76A0"/>
    <w:rsid w:val="003B7CB7"/>
    <w:rsid w:val="003C0C4E"/>
    <w:rsid w:val="003C4D42"/>
    <w:rsid w:val="003C7468"/>
    <w:rsid w:val="003D0B1C"/>
    <w:rsid w:val="003D1A27"/>
    <w:rsid w:val="003D1DFE"/>
    <w:rsid w:val="003D3AC7"/>
    <w:rsid w:val="003D5C03"/>
    <w:rsid w:val="003D7CF2"/>
    <w:rsid w:val="003E54DB"/>
    <w:rsid w:val="003E64CD"/>
    <w:rsid w:val="003E6F16"/>
    <w:rsid w:val="003E7F2F"/>
    <w:rsid w:val="003F0A0A"/>
    <w:rsid w:val="003F2F5B"/>
    <w:rsid w:val="004011D9"/>
    <w:rsid w:val="00401D37"/>
    <w:rsid w:val="00402451"/>
    <w:rsid w:val="00404F04"/>
    <w:rsid w:val="00410CDB"/>
    <w:rsid w:val="004143E1"/>
    <w:rsid w:val="004245AE"/>
    <w:rsid w:val="00424C7C"/>
    <w:rsid w:val="00425267"/>
    <w:rsid w:val="00426575"/>
    <w:rsid w:val="00430CB4"/>
    <w:rsid w:val="004340B8"/>
    <w:rsid w:val="0043493F"/>
    <w:rsid w:val="004355A1"/>
    <w:rsid w:val="00436E31"/>
    <w:rsid w:val="004400FD"/>
    <w:rsid w:val="0044088F"/>
    <w:rsid w:val="004418A2"/>
    <w:rsid w:val="0044487D"/>
    <w:rsid w:val="00445185"/>
    <w:rsid w:val="00453638"/>
    <w:rsid w:val="00454194"/>
    <w:rsid w:val="004562E0"/>
    <w:rsid w:val="00456C6D"/>
    <w:rsid w:val="00460C39"/>
    <w:rsid w:val="00463DDA"/>
    <w:rsid w:val="0046417E"/>
    <w:rsid w:val="0046447B"/>
    <w:rsid w:val="00466E18"/>
    <w:rsid w:val="00466F9F"/>
    <w:rsid w:val="00472385"/>
    <w:rsid w:val="004803D1"/>
    <w:rsid w:val="00482135"/>
    <w:rsid w:val="00484E3A"/>
    <w:rsid w:val="00487289"/>
    <w:rsid w:val="00487D90"/>
    <w:rsid w:val="0049414E"/>
    <w:rsid w:val="004943CF"/>
    <w:rsid w:val="004A1152"/>
    <w:rsid w:val="004A14DE"/>
    <w:rsid w:val="004A6E1A"/>
    <w:rsid w:val="004A7B68"/>
    <w:rsid w:val="004B387F"/>
    <w:rsid w:val="004B5C6E"/>
    <w:rsid w:val="004B611F"/>
    <w:rsid w:val="004B70E7"/>
    <w:rsid w:val="004B7825"/>
    <w:rsid w:val="004C1DD1"/>
    <w:rsid w:val="004C2D00"/>
    <w:rsid w:val="004C5EF5"/>
    <w:rsid w:val="004C7216"/>
    <w:rsid w:val="004C74EA"/>
    <w:rsid w:val="004C7570"/>
    <w:rsid w:val="004D182D"/>
    <w:rsid w:val="004D3091"/>
    <w:rsid w:val="004D360A"/>
    <w:rsid w:val="004D39B9"/>
    <w:rsid w:val="004D5322"/>
    <w:rsid w:val="004D5ECE"/>
    <w:rsid w:val="004E0E64"/>
    <w:rsid w:val="004E116B"/>
    <w:rsid w:val="004E1926"/>
    <w:rsid w:val="004E3337"/>
    <w:rsid w:val="004E7558"/>
    <w:rsid w:val="004E76BD"/>
    <w:rsid w:val="004E7894"/>
    <w:rsid w:val="004E7A7E"/>
    <w:rsid w:val="004E7D7C"/>
    <w:rsid w:val="004F014D"/>
    <w:rsid w:val="004F4EF3"/>
    <w:rsid w:val="00500363"/>
    <w:rsid w:val="00502362"/>
    <w:rsid w:val="005030DE"/>
    <w:rsid w:val="0050456A"/>
    <w:rsid w:val="00510037"/>
    <w:rsid w:val="005204C3"/>
    <w:rsid w:val="005213C2"/>
    <w:rsid w:val="00524C74"/>
    <w:rsid w:val="00525CB5"/>
    <w:rsid w:val="00526026"/>
    <w:rsid w:val="0052664D"/>
    <w:rsid w:val="00527E48"/>
    <w:rsid w:val="005342F3"/>
    <w:rsid w:val="00535858"/>
    <w:rsid w:val="0054129C"/>
    <w:rsid w:val="005452FA"/>
    <w:rsid w:val="005467AF"/>
    <w:rsid w:val="005471AC"/>
    <w:rsid w:val="00550CC4"/>
    <w:rsid w:val="0055110F"/>
    <w:rsid w:val="00552C3B"/>
    <w:rsid w:val="00552E8C"/>
    <w:rsid w:val="0056175C"/>
    <w:rsid w:val="0056377A"/>
    <w:rsid w:val="005649F1"/>
    <w:rsid w:val="00564B76"/>
    <w:rsid w:val="00566828"/>
    <w:rsid w:val="00567001"/>
    <w:rsid w:val="00572420"/>
    <w:rsid w:val="00572771"/>
    <w:rsid w:val="00574672"/>
    <w:rsid w:val="00575AEF"/>
    <w:rsid w:val="00575BA9"/>
    <w:rsid w:val="00581E27"/>
    <w:rsid w:val="00584E34"/>
    <w:rsid w:val="005854BC"/>
    <w:rsid w:val="00587B9E"/>
    <w:rsid w:val="0059065E"/>
    <w:rsid w:val="00594360"/>
    <w:rsid w:val="00595E70"/>
    <w:rsid w:val="00597BDA"/>
    <w:rsid w:val="005A0FE8"/>
    <w:rsid w:val="005A2090"/>
    <w:rsid w:val="005A210C"/>
    <w:rsid w:val="005A2430"/>
    <w:rsid w:val="005B217B"/>
    <w:rsid w:val="005B39C0"/>
    <w:rsid w:val="005B3CDF"/>
    <w:rsid w:val="005B3E93"/>
    <w:rsid w:val="005C0B22"/>
    <w:rsid w:val="005C1CAE"/>
    <w:rsid w:val="005C48BB"/>
    <w:rsid w:val="005C743E"/>
    <w:rsid w:val="005D01A9"/>
    <w:rsid w:val="005D1EC0"/>
    <w:rsid w:val="005D2810"/>
    <w:rsid w:val="005D4EDE"/>
    <w:rsid w:val="005D7462"/>
    <w:rsid w:val="005E0DB6"/>
    <w:rsid w:val="005E0E5E"/>
    <w:rsid w:val="005E3A3B"/>
    <w:rsid w:val="005E417C"/>
    <w:rsid w:val="005E7F3D"/>
    <w:rsid w:val="005F16BC"/>
    <w:rsid w:val="005F28A2"/>
    <w:rsid w:val="005F6FEA"/>
    <w:rsid w:val="005F711B"/>
    <w:rsid w:val="006002EB"/>
    <w:rsid w:val="00602A05"/>
    <w:rsid w:val="00603B9F"/>
    <w:rsid w:val="006050B4"/>
    <w:rsid w:val="0060639F"/>
    <w:rsid w:val="006101E3"/>
    <w:rsid w:val="00610431"/>
    <w:rsid w:val="006138CF"/>
    <w:rsid w:val="006161F5"/>
    <w:rsid w:val="0061633F"/>
    <w:rsid w:val="00620D83"/>
    <w:rsid w:val="00622754"/>
    <w:rsid w:val="00624E78"/>
    <w:rsid w:val="00627912"/>
    <w:rsid w:val="00630729"/>
    <w:rsid w:val="00632B22"/>
    <w:rsid w:val="00632B8A"/>
    <w:rsid w:val="00635318"/>
    <w:rsid w:val="00635BF5"/>
    <w:rsid w:val="006368DC"/>
    <w:rsid w:val="006375AA"/>
    <w:rsid w:val="00637DB0"/>
    <w:rsid w:val="006428DB"/>
    <w:rsid w:val="00644B69"/>
    <w:rsid w:val="00646CF1"/>
    <w:rsid w:val="00646FD5"/>
    <w:rsid w:val="00647097"/>
    <w:rsid w:val="00653D32"/>
    <w:rsid w:val="006578A2"/>
    <w:rsid w:val="00657A49"/>
    <w:rsid w:val="00662DEB"/>
    <w:rsid w:val="00663B16"/>
    <w:rsid w:val="00664913"/>
    <w:rsid w:val="006709F1"/>
    <w:rsid w:val="00671E76"/>
    <w:rsid w:val="006732DA"/>
    <w:rsid w:val="00674970"/>
    <w:rsid w:val="00674ADF"/>
    <w:rsid w:val="00675F34"/>
    <w:rsid w:val="00676780"/>
    <w:rsid w:val="00682B1E"/>
    <w:rsid w:val="0068316E"/>
    <w:rsid w:val="006836B2"/>
    <w:rsid w:val="00683792"/>
    <w:rsid w:val="00683960"/>
    <w:rsid w:val="00683DD6"/>
    <w:rsid w:val="00685A11"/>
    <w:rsid w:val="00686BA2"/>
    <w:rsid w:val="006918DE"/>
    <w:rsid w:val="00692E9D"/>
    <w:rsid w:val="00694D18"/>
    <w:rsid w:val="0069589B"/>
    <w:rsid w:val="006973A7"/>
    <w:rsid w:val="006A01BA"/>
    <w:rsid w:val="006A15D5"/>
    <w:rsid w:val="006A26F7"/>
    <w:rsid w:val="006A3B1C"/>
    <w:rsid w:val="006A55E2"/>
    <w:rsid w:val="006B1146"/>
    <w:rsid w:val="006B1AF6"/>
    <w:rsid w:val="006B46ED"/>
    <w:rsid w:val="006B4D34"/>
    <w:rsid w:val="006B4EA4"/>
    <w:rsid w:val="006B6CF1"/>
    <w:rsid w:val="006C4A88"/>
    <w:rsid w:val="006C62F8"/>
    <w:rsid w:val="006C77D9"/>
    <w:rsid w:val="006D0ACB"/>
    <w:rsid w:val="006D1FF9"/>
    <w:rsid w:val="006D332D"/>
    <w:rsid w:val="006D3C32"/>
    <w:rsid w:val="006D611A"/>
    <w:rsid w:val="006D6581"/>
    <w:rsid w:val="006D713C"/>
    <w:rsid w:val="006D756D"/>
    <w:rsid w:val="006D7E60"/>
    <w:rsid w:val="006E0B5F"/>
    <w:rsid w:val="006E267F"/>
    <w:rsid w:val="006E2AD1"/>
    <w:rsid w:val="006E34EB"/>
    <w:rsid w:val="006E446F"/>
    <w:rsid w:val="006E4E87"/>
    <w:rsid w:val="006E5729"/>
    <w:rsid w:val="006E5B60"/>
    <w:rsid w:val="006F07BD"/>
    <w:rsid w:val="006F32BD"/>
    <w:rsid w:val="006F58AA"/>
    <w:rsid w:val="00700722"/>
    <w:rsid w:val="00700931"/>
    <w:rsid w:val="00700C1F"/>
    <w:rsid w:val="00702DC3"/>
    <w:rsid w:val="00706F39"/>
    <w:rsid w:val="0071216B"/>
    <w:rsid w:val="0071307F"/>
    <w:rsid w:val="0071350C"/>
    <w:rsid w:val="00713C1D"/>
    <w:rsid w:val="00714338"/>
    <w:rsid w:val="00720C79"/>
    <w:rsid w:val="0072314B"/>
    <w:rsid w:val="0072388E"/>
    <w:rsid w:val="00725032"/>
    <w:rsid w:val="00725FDF"/>
    <w:rsid w:val="0072618D"/>
    <w:rsid w:val="00730B14"/>
    <w:rsid w:val="00732F91"/>
    <w:rsid w:val="007341DA"/>
    <w:rsid w:val="00734B54"/>
    <w:rsid w:val="007366BB"/>
    <w:rsid w:val="0074054D"/>
    <w:rsid w:val="0074075D"/>
    <w:rsid w:val="00740784"/>
    <w:rsid w:val="007408AC"/>
    <w:rsid w:val="007412A4"/>
    <w:rsid w:val="00743742"/>
    <w:rsid w:val="00743E71"/>
    <w:rsid w:val="007454DA"/>
    <w:rsid w:val="007518D3"/>
    <w:rsid w:val="00756305"/>
    <w:rsid w:val="00757AE6"/>
    <w:rsid w:val="00760A81"/>
    <w:rsid w:val="00762338"/>
    <w:rsid w:val="00763DC5"/>
    <w:rsid w:val="0076530B"/>
    <w:rsid w:val="0076558E"/>
    <w:rsid w:val="007668CE"/>
    <w:rsid w:val="0077108C"/>
    <w:rsid w:val="00773F5C"/>
    <w:rsid w:val="00775F31"/>
    <w:rsid w:val="00776D42"/>
    <w:rsid w:val="00777062"/>
    <w:rsid w:val="00781B5D"/>
    <w:rsid w:val="007826A9"/>
    <w:rsid w:val="00782AE3"/>
    <w:rsid w:val="007845A1"/>
    <w:rsid w:val="0078522C"/>
    <w:rsid w:val="00794BD6"/>
    <w:rsid w:val="00794E4D"/>
    <w:rsid w:val="007A184D"/>
    <w:rsid w:val="007A3F78"/>
    <w:rsid w:val="007A577A"/>
    <w:rsid w:val="007A655F"/>
    <w:rsid w:val="007B24D7"/>
    <w:rsid w:val="007B5239"/>
    <w:rsid w:val="007B7DC0"/>
    <w:rsid w:val="007C2C9F"/>
    <w:rsid w:val="007C65B8"/>
    <w:rsid w:val="007C76C7"/>
    <w:rsid w:val="007D0881"/>
    <w:rsid w:val="007D0BC7"/>
    <w:rsid w:val="007D33FB"/>
    <w:rsid w:val="007D43B5"/>
    <w:rsid w:val="007D6022"/>
    <w:rsid w:val="007E04DD"/>
    <w:rsid w:val="007E274F"/>
    <w:rsid w:val="007E3086"/>
    <w:rsid w:val="007E39B7"/>
    <w:rsid w:val="007F014B"/>
    <w:rsid w:val="007F04AA"/>
    <w:rsid w:val="007F3514"/>
    <w:rsid w:val="007F3E74"/>
    <w:rsid w:val="007F58FC"/>
    <w:rsid w:val="007F6048"/>
    <w:rsid w:val="007F64AE"/>
    <w:rsid w:val="00800514"/>
    <w:rsid w:val="008029A7"/>
    <w:rsid w:val="00804239"/>
    <w:rsid w:val="00805179"/>
    <w:rsid w:val="00806352"/>
    <w:rsid w:val="0081315D"/>
    <w:rsid w:val="00814289"/>
    <w:rsid w:val="0081487D"/>
    <w:rsid w:val="0081789F"/>
    <w:rsid w:val="008207B2"/>
    <w:rsid w:val="00821660"/>
    <w:rsid w:val="00821875"/>
    <w:rsid w:val="00822DA1"/>
    <w:rsid w:val="0082321B"/>
    <w:rsid w:val="00823412"/>
    <w:rsid w:val="00825540"/>
    <w:rsid w:val="00827224"/>
    <w:rsid w:val="00827DCE"/>
    <w:rsid w:val="00832FB3"/>
    <w:rsid w:val="008331E3"/>
    <w:rsid w:val="00834518"/>
    <w:rsid w:val="00836C9B"/>
    <w:rsid w:val="00836E08"/>
    <w:rsid w:val="008371EC"/>
    <w:rsid w:val="0084143B"/>
    <w:rsid w:val="00841610"/>
    <w:rsid w:val="00841A31"/>
    <w:rsid w:val="00843094"/>
    <w:rsid w:val="008449B0"/>
    <w:rsid w:val="00845094"/>
    <w:rsid w:val="00845CC4"/>
    <w:rsid w:val="00845E73"/>
    <w:rsid w:val="0084629D"/>
    <w:rsid w:val="00850B16"/>
    <w:rsid w:val="008561CE"/>
    <w:rsid w:val="00865074"/>
    <w:rsid w:val="008659A9"/>
    <w:rsid w:val="008673AB"/>
    <w:rsid w:val="008729CC"/>
    <w:rsid w:val="00875315"/>
    <w:rsid w:val="008758FB"/>
    <w:rsid w:val="00877D9F"/>
    <w:rsid w:val="0088189F"/>
    <w:rsid w:val="008870D0"/>
    <w:rsid w:val="00890C65"/>
    <w:rsid w:val="008935EC"/>
    <w:rsid w:val="00894D15"/>
    <w:rsid w:val="00895A47"/>
    <w:rsid w:val="008A1C8C"/>
    <w:rsid w:val="008A29CE"/>
    <w:rsid w:val="008A3B4B"/>
    <w:rsid w:val="008A4EA1"/>
    <w:rsid w:val="008A7B29"/>
    <w:rsid w:val="008A7E18"/>
    <w:rsid w:val="008B2385"/>
    <w:rsid w:val="008B7A4D"/>
    <w:rsid w:val="008C045C"/>
    <w:rsid w:val="008C4465"/>
    <w:rsid w:val="008C5BC0"/>
    <w:rsid w:val="008D4198"/>
    <w:rsid w:val="008D5F05"/>
    <w:rsid w:val="008E0DF2"/>
    <w:rsid w:val="008E1119"/>
    <w:rsid w:val="008E17DB"/>
    <w:rsid w:val="008E2823"/>
    <w:rsid w:val="008E3910"/>
    <w:rsid w:val="008E4860"/>
    <w:rsid w:val="008E6226"/>
    <w:rsid w:val="008E6D7F"/>
    <w:rsid w:val="008F1902"/>
    <w:rsid w:val="008F4620"/>
    <w:rsid w:val="008F529E"/>
    <w:rsid w:val="008F6699"/>
    <w:rsid w:val="008F757C"/>
    <w:rsid w:val="008F7BAE"/>
    <w:rsid w:val="009060FA"/>
    <w:rsid w:val="00906EBE"/>
    <w:rsid w:val="00914F6A"/>
    <w:rsid w:val="0091625E"/>
    <w:rsid w:val="00920ED5"/>
    <w:rsid w:val="009264BE"/>
    <w:rsid w:val="00927A60"/>
    <w:rsid w:val="00936281"/>
    <w:rsid w:val="00937ACE"/>
    <w:rsid w:val="00942947"/>
    <w:rsid w:val="00943CF7"/>
    <w:rsid w:val="00944A5C"/>
    <w:rsid w:val="00944D43"/>
    <w:rsid w:val="00945558"/>
    <w:rsid w:val="009475C2"/>
    <w:rsid w:val="00953215"/>
    <w:rsid w:val="00954186"/>
    <w:rsid w:val="009569F5"/>
    <w:rsid w:val="0095733D"/>
    <w:rsid w:val="00957353"/>
    <w:rsid w:val="009638BA"/>
    <w:rsid w:val="00964535"/>
    <w:rsid w:val="009657E3"/>
    <w:rsid w:val="00966898"/>
    <w:rsid w:val="009675B7"/>
    <w:rsid w:val="009704CD"/>
    <w:rsid w:val="00970F66"/>
    <w:rsid w:val="00971C06"/>
    <w:rsid w:val="00973BDC"/>
    <w:rsid w:val="00974BCA"/>
    <w:rsid w:val="00976165"/>
    <w:rsid w:val="00976DF7"/>
    <w:rsid w:val="00981612"/>
    <w:rsid w:val="009819FE"/>
    <w:rsid w:val="00985F53"/>
    <w:rsid w:val="009868A5"/>
    <w:rsid w:val="00986922"/>
    <w:rsid w:val="009933E9"/>
    <w:rsid w:val="00994DED"/>
    <w:rsid w:val="00995064"/>
    <w:rsid w:val="00995394"/>
    <w:rsid w:val="009A0945"/>
    <w:rsid w:val="009A1CED"/>
    <w:rsid w:val="009A51B6"/>
    <w:rsid w:val="009A6893"/>
    <w:rsid w:val="009A6C1F"/>
    <w:rsid w:val="009B10F6"/>
    <w:rsid w:val="009B127F"/>
    <w:rsid w:val="009B2189"/>
    <w:rsid w:val="009B252A"/>
    <w:rsid w:val="009B2DC6"/>
    <w:rsid w:val="009B3817"/>
    <w:rsid w:val="009B5F2C"/>
    <w:rsid w:val="009B5FC1"/>
    <w:rsid w:val="009C18EA"/>
    <w:rsid w:val="009C308F"/>
    <w:rsid w:val="009C537A"/>
    <w:rsid w:val="009C5B54"/>
    <w:rsid w:val="009C7549"/>
    <w:rsid w:val="009C75E9"/>
    <w:rsid w:val="009C7D68"/>
    <w:rsid w:val="009D03EC"/>
    <w:rsid w:val="009D0542"/>
    <w:rsid w:val="009D1E19"/>
    <w:rsid w:val="009D3437"/>
    <w:rsid w:val="009D51C8"/>
    <w:rsid w:val="009D54EB"/>
    <w:rsid w:val="009D63BE"/>
    <w:rsid w:val="009D6799"/>
    <w:rsid w:val="009D70E6"/>
    <w:rsid w:val="009D71FF"/>
    <w:rsid w:val="009E4C5B"/>
    <w:rsid w:val="009E57E9"/>
    <w:rsid w:val="009E5CC2"/>
    <w:rsid w:val="009E64E3"/>
    <w:rsid w:val="009E65B0"/>
    <w:rsid w:val="009F410E"/>
    <w:rsid w:val="009F68DA"/>
    <w:rsid w:val="009F6A26"/>
    <w:rsid w:val="00A0090D"/>
    <w:rsid w:val="00A0277F"/>
    <w:rsid w:val="00A02AA9"/>
    <w:rsid w:val="00A02D16"/>
    <w:rsid w:val="00A03527"/>
    <w:rsid w:val="00A03817"/>
    <w:rsid w:val="00A03ADE"/>
    <w:rsid w:val="00A05F92"/>
    <w:rsid w:val="00A060F1"/>
    <w:rsid w:val="00A10CDD"/>
    <w:rsid w:val="00A11076"/>
    <w:rsid w:val="00A115A5"/>
    <w:rsid w:val="00A13055"/>
    <w:rsid w:val="00A15423"/>
    <w:rsid w:val="00A17025"/>
    <w:rsid w:val="00A21AD1"/>
    <w:rsid w:val="00A3362C"/>
    <w:rsid w:val="00A34531"/>
    <w:rsid w:val="00A34AD7"/>
    <w:rsid w:val="00A375A8"/>
    <w:rsid w:val="00A3798F"/>
    <w:rsid w:val="00A406C8"/>
    <w:rsid w:val="00A43617"/>
    <w:rsid w:val="00A45D85"/>
    <w:rsid w:val="00A50305"/>
    <w:rsid w:val="00A50929"/>
    <w:rsid w:val="00A53E2F"/>
    <w:rsid w:val="00A55206"/>
    <w:rsid w:val="00A5628F"/>
    <w:rsid w:val="00A56BDF"/>
    <w:rsid w:val="00A57E85"/>
    <w:rsid w:val="00A62B36"/>
    <w:rsid w:val="00A67DB5"/>
    <w:rsid w:val="00A722F1"/>
    <w:rsid w:val="00A73436"/>
    <w:rsid w:val="00A737D2"/>
    <w:rsid w:val="00A76BAE"/>
    <w:rsid w:val="00A77ED3"/>
    <w:rsid w:val="00A81D3A"/>
    <w:rsid w:val="00A81E94"/>
    <w:rsid w:val="00A860D9"/>
    <w:rsid w:val="00A86852"/>
    <w:rsid w:val="00A86C91"/>
    <w:rsid w:val="00A86FEA"/>
    <w:rsid w:val="00A87171"/>
    <w:rsid w:val="00A876DF"/>
    <w:rsid w:val="00A96BCF"/>
    <w:rsid w:val="00AA1100"/>
    <w:rsid w:val="00AA20D2"/>
    <w:rsid w:val="00AB10D6"/>
    <w:rsid w:val="00AB1EA6"/>
    <w:rsid w:val="00AB416F"/>
    <w:rsid w:val="00AC0635"/>
    <w:rsid w:val="00AC40A9"/>
    <w:rsid w:val="00AC4428"/>
    <w:rsid w:val="00AC5B79"/>
    <w:rsid w:val="00AC7170"/>
    <w:rsid w:val="00AD078B"/>
    <w:rsid w:val="00AD0E3C"/>
    <w:rsid w:val="00AD1E61"/>
    <w:rsid w:val="00AD3E17"/>
    <w:rsid w:val="00AD50BA"/>
    <w:rsid w:val="00AD6C2D"/>
    <w:rsid w:val="00AE10B4"/>
    <w:rsid w:val="00AE147C"/>
    <w:rsid w:val="00AE3CE5"/>
    <w:rsid w:val="00AE602B"/>
    <w:rsid w:val="00AE6364"/>
    <w:rsid w:val="00AE69A8"/>
    <w:rsid w:val="00AE6C84"/>
    <w:rsid w:val="00AF05C1"/>
    <w:rsid w:val="00AF0E6D"/>
    <w:rsid w:val="00AF3699"/>
    <w:rsid w:val="00AF784A"/>
    <w:rsid w:val="00B01C6D"/>
    <w:rsid w:val="00B05DB2"/>
    <w:rsid w:val="00B066B5"/>
    <w:rsid w:val="00B071A3"/>
    <w:rsid w:val="00B115D3"/>
    <w:rsid w:val="00B1193A"/>
    <w:rsid w:val="00B1212C"/>
    <w:rsid w:val="00B17D13"/>
    <w:rsid w:val="00B20FDD"/>
    <w:rsid w:val="00B21FF7"/>
    <w:rsid w:val="00B253C0"/>
    <w:rsid w:val="00B2656A"/>
    <w:rsid w:val="00B2754C"/>
    <w:rsid w:val="00B30A4C"/>
    <w:rsid w:val="00B31C6D"/>
    <w:rsid w:val="00B32D01"/>
    <w:rsid w:val="00B32FA8"/>
    <w:rsid w:val="00B335A9"/>
    <w:rsid w:val="00B33904"/>
    <w:rsid w:val="00B35015"/>
    <w:rsid w:val="00B44474"/>
    <w:rsid w:val="00B47FB4"/>
    <w:rsid w:val="00B519EE"/>
    <w:rsid w:val="00B53DCA"/>
    <w:rsid w:val="00B54D4C"/>
    <w:rsid w:val="00B5525F"/>
    <w:rsid w:val="00B56F12"/>
    <w:rsid w:val="00B57AE3"/>
    <w:rsid w:val="00B64B4C"/>
    <w:rsid w:val="00B66F57"/>
    <w:rsid w:val="00B674DF"/>
    <w:rsid w:val="00B70237"/>
    <w:rsid w:val="00B7128F"/>
    <w:rsid w:val="00B72BD6"/>
    <w:rsid w:val="00B801C7"/>
    <w:rsid w:val="00B83A3D"/>
    <w:rsid w:val="00B83DAF"/>
    <w:rsid w:val="00B86551"/>
    <w:rsid w:val="00B90084"/>
    <w:rsid w:val="00B91BAE"/>
    <w:rsid w:val="00B94592"/>
    <w:rsid w:val="00B9461E"/>
    <w:rsid w:val="00B96C0F"/>
    <w:rsid w:val="00BA10F4"/>
    <w:rsid w:val="00BA1AF5"/>
    <w:rsid w:val="00BA39FC"/>
    <w:rsid w:val="00BA7C69"/>
    <w:rsid w:val="00BB03C2"/>
    <w:rsid w:val="00BB14A1"/>
    <w:rsid w:val="00BB3BC3"/>
    <w:rsid w:val="00BB3C6E"/>
    <w:rsid w:val="00BC115C"/>
    <w:rsid w:val="00BC1FB2"/>
    <w:rsid w:val="00BC3A18"/>
    <w:rsid w:val="00BC445D"/>
    <w:rsid w:val="00BD00CC"/>
    <w:rsid w:val="00BD052D"/>
    <w:rsid w:val="00BD1943"/>
    <w:rsid w:val="00BD36F0"/>
    <w:rsid w:val="00BD4F8D"/>
    <w:rsid w:val="00BE1C89"/>
    <w:rsid w:val="00BE3D0F"/>
    <w:rsid w:val="00BE6325"/>
    <w:rsid w:val="00BE770C"/>
    <w:rsid w:val="00BF0D8D"/>
    <w:rsid w:val="00BF1043"/>
    <w:rsid w:val="00BF2CCD"/>
    <w:rsid w:val="00BF463E"/>
    <w:rsid w:val="00BF6999"/>
    <w:rsid w:val="00C00BB3"/>
    <w:rsid w:val="00C014EF"/>
    <w:rsid w:val="00C01E1F"/>
    <w:rsid w:val="00C045C2"/>
    <w:rsid w:val="00C046B9"/>
    <w:rsid w:val="00C04E71"/>
    <w:rsid w:val="00C113DA"/>
    <w:rsid w:val="00C11552"/>
    <w:rsid w:val="00C1204E"/>
    <w:rsid w:val="00C12CD9"/>
    <w:rsid w:val="00C15464"/>
    <w:rsid w:val="00C157B3"/>
    <w:rsid w:val="00C15BD7"/>
    <w:rsid w:val="00C15E48"/>
    <w:rsid w:val="00C17924"/>
    <w:rsid w:val="00C20D29"/>
    <w:rsid w:val="00C211F3"/>
    <w:rsid w:val="00C21682"/>
    <w:rsid w:val="00C24C26"/>
    <w:rsid w:val="00C24D6E"/>
    <w:rsid w:val="00C25358"/>
    <w:rsid w:val="00C26BF1"/>
    <w:rsid w:val="00C270BE"/>
    <w:rsid w:val="00C3143F"/>
    <w:rsid w:val="00C31A8C"/>
    <w:rsid w:val="00C32118"/>
    <w:rsid w:val="00C32B25"/>
    <w:rsid w:val="00C32C03"/>
    <w:rsid w:val="00C32D90"/>
    <w:rsid w:val="00C3584A"/>
    <w:rsid w:val="00C37A75"/>
    <w:rsid w:val="00C40785"/>
    <w:rsid w:val="00C44C22"/>
    <w:rsid w:val="00C523BB"/>
    <w:rsid w:val="00C5694B"/>
    <w:rsid w:val="00C5787C"/>
    <w:rsid w:val="00C57E74"/>
    <w:rsid w:val="00C6090D"/>
    <w:rsid w:val="00C60A8E"/>
    <w:rsid w:val="00C61DAA"/>
    <w:rsid w:val="00C63372"/>
    <w:rsid w:val="00C67949"/>
    <w:rsid w:val="00C67A27"/>
    <w:rsid w:val="00C74264"/>
    <w:rsid w:val="00C74960"/>
    <w:rsid w:val="00C77576"/>
    <w:rsid w:val="00C825F7"/>
    <w:rsid w:val="00C83FAF"/>
    <w:rsid w:val="00C84EC2"/>
    <w:rsid w:val="00C84FBC"/>
    <w:rsid w:val="00C93468"/>
    <w:rsid w:val="00CA0ABC"/>
    <w:rsid w:val="00CA20E1"/>
    <w:rsid w:val="00CA286E"/>
    <w:rsid w:val="00CA37DF"/>
    <w:rsid w:val="00CA5C2B"/>
    <w:rsid w:val="00CA6BCB"/>
    <w:rsid w:val="00CA709D"/>
    <w:rsid w:val="00CB3AF5"/>
    <w:rsid w:val="00CB4430"/>
    <w:rsid w:val="00CB6046"/>
    <w:rsid w:val="00CB67F0"/>
    <w:rsid w:val="00CB6BDA"/>
    <w:rsid w:val="00CC1B05"/>
    <w:rsid w:val="00CC3586"/>
    <w:rsid w:val="00CC4F0D"/>
    <w:rsid w:val="00CD1529"/>
    <w:rsid w:val="00CD168E"/>
    <w:rsid w:val="00CD3699"/>
    <w:rsid w:val="00CD5C68"/>
    <w:rsid w:val="00CD6F95"/>
    <w:rsid w:val="00CE03AD"/>
    <w:rsid w:val="00CE18D7"/>
    <w:rsid w:val="00CE302A"/>
    <w:rsid w:val="00CE37AF"/>
    <w:rsid w:val="00CE3CB6"/>
    <w:rsid w:val="00CE6053"/>
    <w:rsid w:val="00CE617A"/>
    <w:rsid w:val="00CF0A9D"/>
    <w:rsid w:val="00CF107C"/>
    <w:rsid w:val="00CF1A33"/>
    <w:rsid w:val="00CF5BA9"/>
    <w:rsid w:val="00CF6557"/>
    <w:rsid w:val="00CF7488"/>
    <w:rsid w:val="00D0213A"/>
    <w:rsid w:val="00D03EA4"/>
    <w:rsid w:val="00D0421B"/>
    <w:rsid w:val="00D06A99"/>
    <w:rsid w:val="00D0792F"/>
    <w:rsid w:val="00D07A04"/>
    <w:rsid w:val="00D07E56"/>
    <w:rsid w:val="00D1317B"/>
    <w:rsid w:val="00D20CD4"/>
    <w:rsid w:val="00D21D93"/>
    <w:rsid w:val="00D22692"/>
    <w:rsid w:val="00D2326B"/>
    <w:rsid w:val="00D23972"/>
    <w:rsid w:val="00D3035F"/>
    <w:rsid w:val="00D304F5"/>
    <w:rsid w:val="00D308EE"/>
    <w:rsid w:val="00D33C4B"/>
    <w:rsid w:val="00D3400C"/>
    <w:rsid w:val="00D36FC7"/>
    <w:rsid w:val="00D40294"/>
    <w:rsid w:val="00D4267D"/>
    <w:rsid w:val="00D43723"/>
    <w:rsid w:val="00D44201"/>
    <w:rsid w:val="00D455E8"/>
    <w:rsid w:val="00D523D2"/>
    <w:rsid w:val="00D52C5E"/>
    <w:rsid w:val="00D55B0B"/>
    <w:rsid w:val="00D6015B"/>
    <w:rsid w:val="00D61613"/>
    <w:rsid w:val="00D64BD7"/>
    <w:rsid w:val="00D6627A"/>
    <w:rsid w:val="00D66781"/>
    <w:rsid w:val="00D66BB4"/>
    <w:rsid w:val="00D73820"/>
    <w:rsid w:val="00D7718F"/>
    <w:rsid w:val="00D805F5"/>
    <w:rsid w:val="00D80CFE"/>
    <w:rsid w:val="00D8538B"/>
    <w:rsid w:val="00D859F8"/>
    <w:rsid w:val="00D8611D"/>
    <w:rsid w:val="00D863B4"/>
    <w:rsid w:val="00D870DC"/>
    <w:rsid w:val="00D90AFE"/>
    <w:rsid w:val="00D91898"/>
    <w:rsid w:val="00D93A82"/>
    <w:rsid w:val="00D93BF5"/>
    <w:rsid w:val="00D9429C"/>
    <w:rsid w:val="00D95E0D"/>
    <w:rsid w:val="00D9645D"/>
    <w:rsid w:val="00DA257D"/>
    <w:rsid w:val="00DA42F7"/>
    <w:rsid w:val="00DA43DB"/>
    <w:rsid w:val="00DA4D1D"/>
    <w:rsid w:val="00DA5623"/>
    <w:rsid w:val="00DA5922"/>
    <w:rsid w:val="00DB4EEE"/>
    <w:rsid w:val="00DB7485"/>
    <w:rsid w:val="00DC413B"/>
    <w:rsid w:val="00DC4CDE"/>
    <w:rsid w:val="00DC63AB"/>
    <w:rsid w:val="00DC63BF"/>
    <w:rsid w:val="00DC7940"/>
    <w:rsid w:val="00DD100D"/>
    <w:rsid w:val="00DE3E0E"/>
    <w:rsid w:val="00DE59B6"/>
    <w:rsid w:val="00DE6127"/>
    <w:rsid w:val="00DF3172"/>
    <w:rsid w:val="00DF5758"/>
    <w:rsid w:val="00E01C73"/>
    <w:rsid w:val="00E0407A"/>
    <w:rsid w:val="00E0495F"/>
    <w:rsid w:val="00E06BE2"/>
    <w:rsid w:val="00E06EE1"/>
    <w:rsid w:val="00E135C7"/>
    <w:rsid w:val="00E137AE"/>
    <w:rsid w:val="00E1394F"/>
    <w:rsid w:val="00E13C91"/>
    <w:rsid w:val="00E14F45"/>
    <w:rsid w:val="00E15638"/>
    <w:rsid w:val="00E15B8D"/>
    <w:rsid w:val="00E16CC3"/>
    <w:rsid w:val="00E171B9"/>
    <w:rsid w:val="00E17957"/>
    <w:rsid w:val="00E17D3D"/>
    <w:rsid w:val="00E21F85"/>
    <w:rsid w:val="00E271B9"/>
    <w:rsid w:val="00E3184C"/>
    <w:rsid w:val="00E33781"/>
    <w:rsid w:val="00E35076"/>
    <w:rsid w:val="00E36C55"/>
    <w:rsid w:val="00E36D22"/>
    <w:rsid w:val="00E442EA"/>
    <w:rsid w:val="00E45ADA"/>
    <w:rsid w:val="00E468AD"/>
    <w:rsid w:val="00E47220"/>
    <w:rsid w:val="00E472E9"/>
    <w:rsid w:val="00E5295D"/>
    <w:rsid w:val="00E52976"/>
    <w:rsid w:val="00E549ED"/>
    <w:rsid w:val="00E54D78"/>
    <w:rsid w:val="00E56CA0"/>
    <w:rsid w:val="00E630AA"/>
    <w:rsid w:val="00E66642"/>
    <w:rsid w:val="00E66C36"/>
    <w:rsid w:val="00E6720A"/>
    <w:rsid w:val="00E67FD8"/>
    <w:rsid w:val="00E72BD6"/>
    <w:rsid w:val="00E72ED0"/>
    <w:rsid w:val="00E746F2"/>
    <w:rsid w:val="00E764E0"/>
    <w:rsid w:val="00E77B48"/>
    <w:rsid w:val="00E84DE3"/>
    <w:rsid w:val="00E85E84"/>
    <w:rsid w:val="00E86D7F"/>
    <w:rsid w:val="00E91A3F"/>
    <w:rsid w:val="00E9242A"/>
    <w:rsid w:val="00E9293E"/>
    <w:rsid w:val="00E95E39"/>
    <w:rsid w:val="00E973C4"/>
    <w:rsid w:val="00E97A48"/>
    <w:rsid w:val="00EA0A72"/>
    <w:rsid w:val="00EA2C19"/>
    <w:rsid w:val="00EA45BA"/>
    <w:rsid w:val="00EA666B"/>
    <w:rsid w:val="00EB5E84"/>
    <w:rsid w:val="00EB6ED4"/>
    <w:rsid w:val="00EC093F"/>
    <w:rsid w:val="00EC4831"/>
    <w:rsid w:val="00ED052A"/>
    <w:rsid w:val="00ED0792"/>
    <w:rsid w:val="00ED3E95"/>
    <w:rsid w:val="00ED5B99"/>
    <w:rsid w:val="00EE0B5B"/>
    <w:rsid w:val="00EE1B18"/>
    <w:rsid w:val="00EE20DC"/>
    <w:rsid w:val="00EE54D3"/>
    <w:rsid w:val="00EE75A9"/>
    <w:rsid w:val="00EF26AA"/>
    <w:rsid w:val="00EF5D38"/>
    <w:rsid w:val="00EF68B4"/>
    <w:rsid w:val="00EF6B17"/>
    <w:rsid w:val="00F01318"/>
    <w:rsid w:val="00F040C8"/>
    <w:rsid w:val="00F0429C"/>
    <w:rsid w:val="00F0641E"/>
    <w:rsid w:val="00F06E20"/>
    <w:rsid w:val="00F070E5"/>
    <w:rsid w:val="00F1095E"/>
    <w:rsid w:val="00F12DF1"/>
    <w:rsid w:val="00F15150"/>
    <w:rsid w:val="00F151C3"/>
    <w:rsid w:val="00F15F40"/>
    <w:rsid w:val="00F21B91"/>
    <w:rsid w:val="00F23312"/>
    <w:rsid w:val="00F245C6"/>
    <w:rsid w:val="00F24BD7"/>
    <w:rsid w:val="00F24F87"/>
    <w:rsid w:val="00F2559B"/>
    <w:rsid w:val="00F27249"/>
    <w:rsid w:val="00F3291E"/>
    <w:rsid w:val="00F32C12"/>
    <w:rsid w:val="00F337C0"/>
    <w:rsid w:val="00F33E66"/>
    <w:rsid w:val="00F36774"/>
    <w:rsid w:val="00F40248"/>
    <w:rsid w:val="00F42799"/>
    <w:rsid w:val="00F444FD"/>
    <w:rsid w:val="00F44578"/>
    <w:rsid w:val="00F46E69"/>
    <w:rsid w:val="00F5283A"/>
    <w:rsid w:val="00F5331F"/>
    <w:rsid w:val="00F559E1"/>
    <w:rsid w:val="00F55F85"/>
    <w:rsid w:val="00F565F1"/>
    <w:rsid w:val="00F57167"/>
    <w:rsid w:val="00F614EB"/>
    <w:rsid w:val="00F6471C"/>
    <w:rsid w:val="00F65B9E"/>
    <w:rsid w:val="00F70402"/>
    <w:rsid w:val="00F706C8"/>
    <w:rsid w:val="00F71517"/>
    <w:rsid w:val="00F72174"/>
    <w:rsid w:val="00F72257"/>
    <w:rsid w:val="00F72D52"/>
    <w:rsid w:val="00F73C6E"/>
    <w:rsid w:val="00F74671"/>
    <w:rsid w:val="00F74B7B"/>
    <w:rsid w:val="00F758EB"/>
    <w:rsid w:val="00F75D2E"/>
    <w:rsid w:val="00F82CB3"/>
    <w:rsid w:val="00F82F69"/>
    <w:rsid w:val="00F835E2"/>
    <w:rsid w:val="00F837AF"/>
    <w:rsid w:val="00F84752"/>
    <w:rsid w:val="00F857F0"/>
    <w:rsid w:val="00F871AD"/>
    <w:rsid w:val="00F87F7E"/>
    <w:rsid w:val="00F9173A"/>
    <w:rsid w:val="00F93AE8"/>
    <w:rsid w:val="00F95236"/>
    <w:rsid w:val="00FA0AD0"/>
    <w:rsid w:val="00FA10C8"/>
    <w:rsid w:val="00FA1498"/>
    <w:rsid w:val="00FA2106"/>
    <w:rsid w:val="00FA29F1"/>
    <w:rsid w:val="00FA48E6"/>
    <w:rsid w:val="00FA62E3"/>
    <w:rsid w:val="00FA65D5"/>
    <w:rsid w:val="00FB54D8"/>
    <w:rsid w:val="00FB7985"/>
    <w:rsid w:val="00FC5A94"/>
    <w:rsid w:val="00FC655A"/>
    <w:rsid w:val="00FC7DDA"/>
    <w:rsid w:val="00FD07AE"/>
    <w:rsid w:val="00FD1AE9"/>
    <w:rsid w:val="00FD26B6"/>
    <w:rsid w:val="00FD3385"/>
    <w:rsid w:val="00FD5B28"/>
    <w:rsid w:val="00FD7113"/>
    <w:rsid w:val="00FE30D0"/>
    <w:rsid w:val="00FE3B8F"/>
    <w:rsid w:val="00FE5FF1"/>
    <w:rsid w:val="00FE62DF"/>
    <w:rsid w:val="00FE6CC0"/>
    <w:rsid w:val="00FE7976"/>
    <w:rsid w:val="00FF0CDD"/>
    <w:rsid w:val="00FF14C9"/>
    <w:rsid w:val="00FF21CF"/>
    <w:rsid w:val="00FF3AB4"/>
    <w:rsid w:val="00FF5117"/>
    <w:rsid w:val="00FF6A60"/>
    <w:rsid w:val="05A55AA0"/>
    <w:rsid w:val="07B43F79"/>
    <w:rsid w:val="08F36286"/>
    <w:rsid w:val="20F54B2D"/>
    <w:rsid w:val="26654D29"/>
    <w:rsid w:val="294D2E7A"/>
    <w:rsid w:val="2B575DF4"/>
    <w:rsid w:val="2D942E08"/>
    <w:rsid w:val="2DF35209"/>
    <w:rsid w:val="3A7B36A4"/>
    <w:rsid w:val="3D280348"/>
    <w:rsid w:val="3D481A71"/>
    <w:rsid w:val="41935851"/>
    <w:rsid w:val="49902CB9"/>
    <w:rsid w:val="4A2A2D1B"/>
    <w:rsid w:val="59CF72D2"/>
    <w:rsid w:val="5F645802"/>
    <w:rsid w:val="63015BF5"/>
    <w:rsid w:val="649C74A8"/>
    <w:rsid w:val="6B6B5093"/>
    <w:rsid w:val="6BE34211"/>
    <w:rsid w:val="6C767DE6"/>
    <w:rsid w:val="6D8A02A1"/>
    <w:rsid w:val="76465F91"/>
    <w:rsid w:val="79D81298"/>
    <w:rsid w:val="7F620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2"/>
    <w:basedOn w:val="1"/>
    <w:next w:val="1"/>
    <w:link w:val="14"/>
    <w:qFormat/>
    <w:uiPriority w:val="0"/>
    <w:pPr>
      <w:keepNext/>
      <w:keepLines/>
      <w:outlineLvl w:val="1"/>
    </w:pPr>
    <w:rPr>
      <w:rFonts w:ascii="Arial" w:hAnsi="Arial"/>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16"/>
    <w:qFormat/>
    <w:uiPriority w:val="99"/>
    <w:rPr>
      <w:rFonts w:ascii="宋体"/>
      <w:kern w:val="0"/>
      <w:szCs w:val="20"/>
    </w:rPr>
  </w:style>
  <w:style w:type="paragraph" w:styleId="4">
    <w:name w:val="Body Text"/>
    <w:basedOn w:val="1"/>
    <w:link w:val="22"/>
    <w:semiHidden/>
    <w:unhideWhenUsed/>
    <w:qFormat/>
    <w:uiPriority w:val="99"/>
    <w:pPr>
      <w:spacing w:after="120"/>
    </w:pPr>
  </w:style>
  <w:style w:type="paragraph" w:styleId="5">
    <w:name w:val="Plain Text"/>
    <w:basedOn w:val="1"/>
    <w:link w:val="18"/>
    <w:qFormat/>
    <w:uiPriority w:val="0"/>
    <w:rPr>
      <w:rFonts w:ascii="宋体" w:hAnsi="Courier New"/>
      <w:kern w:val="0"/>
      <w:sz w:val="20"/>
      <w:szCs w:val="21"/>
    </w:rPr>
  </w:style>
  <w:style w:type="paragraph" w:styleId="6">
    <w:name w:val="Balloon Text"/>
    <w:basedOn w:val="1"/>
    <w:link w:val="23"/>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uiPriority w:val="99"/>
    <w:rPr>
      <w:color w:val="000000"/>
      <w:sz w:val="18"/>
      <w:szCs w:val="18"/>
      <w:u w:val="none"/>
    </w:rPr>
  </w:style>
  <w:style w:type="character" w:styleId="13">
    <w:name w:val="Hyperlink"/>
    <w:qFormat/>
    <w:uiPriority w:val="99"/>
    <w:rPr>
      <w:color w:val="0000FF"/>
      <w:u w:val="single"/>
    </w:rPr>
  </w:style>
  <w:style w:type="character" w:customStyle="1" w:styleId="14">
    <w:name w:val="标题 2 Char"/>
    <w:basedOn w:val="11"/>
    <w:link w:val="2"/>
    <w:qFormat/>
    <w:uiPriority w:val="0"/>
    <w:rPr>
      <w:rFonts w:ascii="Arial" w:hAnsi="Arial" w:eastAsia="宋体" w:cs="Times New Roman"/>
      <w:b/>
      <w:bCs/>
      <w:kern w:val="0"/>
      <w:sz w:val="24"/>
      <w:szCs w:val="32"/>
    </w:rPr>
  </w:style>
  <w:style w:type="paragraph" w:customStyle="1" w:styleId="15">
    <w:name w:val="A1"/>
    <w:basedOn w:val="2"/>
    <w:qFormat/>
    <w:uiPriority w:val="0"/>
    <w:rPr>
      <w:rFonts w:ascii="宋体"/>
    </w:rPr>
  </w:style>
  <w:style w:type="character" w:customStyle="1" w:styleId="16">
    <w:name w:val="正文文本 3 Char"/>
    <w:basedOn w:val="11"/>
    <w:link w:val="3"/>
    <w:qFormat/>
    <w:uiPriority w:val="99"/>
    <w:rPr>
      <w:rFonts w:ascii="宋体" w:hAnsi="Times New Roman" w:eastAsia="宋体" w:cs="Times New Roman"/>
      <w:kern w:val="0"/>
      <w:sz w:val="24"/>
      <w:szCs w:val="20"/>
    </w:rPr>
  </w:style>
  <w:style w:type="character" w:customStyle="1" w:styleId="17">
    <w:name w:val="纯文本 Char"/>
    <w:basedOn w:val="11"/>
    <w:qFormat/>
    <w:uiPriority w:val="0"/>
    <w:rPr>
      <w:rFonts w:ascii="宋体" w:hAnsi="Courier New" w:eastAsia="宋体" w:cs="Courier New"/>
      <w:szCs w:val="21"/>
    </w:rPr>
  </w:style>
  <w:style w:type="character" w:customStyle="1" w:styleId="18">
    <w:name w:val="纯文本 Char1"/>
    <w:link w:val="5"/>
    <w:qFormat/>
    <w:uiPriority w:val="0"/>
    <w:rPr>
      <w:rFonts w:ascii="宋体" w:hAnsi="Courier New" w:eastAsia="宋体" w:cs="Times New Roman"/>
      <w:kern w:val="0"/>
      <w:sz w:val="20"/>
      <w:szCs w:val="21"/>
    </w:rPr>
  </w:style>
  <w:style w:type="character" w:customStyle="1" w:styleId="19">
    <w:name w:val="页眉 Char"/>
    <w:basedOn w:val="11"/>
    <w:link w:val="8"/>
    <w:qFormat/>
    <w:uiPriority w:val="99"/>
    <w:rPr>
      <w:rFonts w:ascii="Times New Roman" w:hAnsi="Times New Roman" w:eastAsia="宋体" w:cs="Times New Roman"/>
      <w:sz w:val="18"/>
      <w:szCs w:val="18"/>
    </w:rPr>
  </w:style>
  <w:style w:type="character" w:customStyle="1" w:styleId="20">
    <w:name w:val="页脚 Char"/>
    <w:basedOn w:val="11"/>
    <w:link w:val="7"/>
    <w:qFormat/>
    <w:uiPriority w:val="99"/>
    <w:rPr>
      <w:rFonts w:ascii="Times New Roman" w:hAnsi="Times New Roman" w:eastAsia="宋体" w:cs="Times New Roman"/>
      <w:sz w:val="18"/>
      <w:szCs w:val="18"/>
    </w:rPr>
  </w:style>
  <w:style w:type="paragraph" w:styleId="21">
    <w:name w:val="List Paragraph"/>
    <w:basedOn w:val="1"/>
    <w:qFormat/>
    <w:uiPriority w:val="34"/>
    <w:pPr>
      <w:ind w:firstLine="420" w:firstLineChars="200"/>
    </w:pPr>
  </w:style>
  <w:style w:type="character" w:customStyle="1" w:styleId="22">
    <w:name w:val="正文文本 Char"/>
    <w:basedOn w:val="11"/>
    <w:link w:val="4"/>
    <w:semiHidden/>
    <w:qFormat/>
    <w:uiPriority w:val="99"/>
    <w:rPr>
      <w:rFonts w:ascii="Times New Roman" w:hAnsi="Times New Roman" w:eastAsia="宋体" w:cs="Times New Roman"/>
      <w:sz w:val="24"/>
      <w:szCs w:val="24"/>
    </w:rPr>
  </w:style>
  <w:style w:type="character" w:customStyle="1" w:styleId="23">
    <w:name w:val="批注框文本 Char"/>
    <w:basedOn w:val="11"/>
    <w:link w:val="6"/>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customXml" Target="../customXml/item4.xml"/><Relationship Id="rId6" Type="http://schemas.openxmlformats.org/officeDocument/2006/relationships/header" Target="header2.xml"/><Relationship Id="rId11" Type="http://schemas.openxmlformats.org/officeDocument/2006/relationships/theme" Target="theme/theme1.xml"/><Relationship Id="rId1" Type="http://schemas.openxmlformats.org/officeDocument/2006/relationships/styles" Target="styles.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9" Type="http://schemas.openxmlformats.org/officeDocument/2006/relationships/footer" Target="footer2.xml"/><Relationship Id="rId4" Type="http://schemas.openxmlformats.org/officeDocument/2006/relationships/endnotes" Target="endnotes.xml"/><Relationship Id="rId14"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0E70836B3C344840AC266AC8DA5B0D41" ma:contentTypeVersion="1" ma:contentTypeDescription="新建文档。" ma:contentTypeScope="" ma:versionID="5710c2dfb2b2d5a2bca41665bc041ef0">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055172-A501-4078-970C-60FA171EA9D1}"/>
</file>

<file path=customXml/itemProps2.xml><?xml version="1.0" encoding="utf-8"?>
<ds:datastoreItem xmlns:ds="http://schemas.openxmlformats.org/officeDocument/2006/customXml" ds:itemID="{78307F3F-ADD8-4257-AFBE-5E501817B173}"/>
</file>

<file path=customXml/itemProps3.xml><?xml version="1.0" encoding="utf-8"?>
<ds:datastoreItem xmlns:ds="http://schemas.openxmlformats.org/officeDocument/2006/customXml" ds:itemID="{E62C98CA-902F-4C66-AB85-BDD41B4F1B08}"/>
</file>

<file path=customXml/itemProps4.xml><?xml version="1.0" encoding="utf-8"?>
<ds:datastoreItem xmlns:ds="http://schemas.openxmlformats.org/officeDocument/2006/customXml" ds:itemID="{808B22FF-F1CC-4ED6-818E-AB3652322E51}"/>
</file>

<file path=docProps/app.xml><?xml version="1.0" encoding="utf-8"?>
<Properties xmlns="http://schemas.openxmlformats.org/officeDocument/2006/extended-properties" xmlns:vt="http://schemas.openxmlformats.org/officeDocument/2006/docPropsVTypes">
  <Template>Normal</Template>
  <Company>微软中国</Company>
  <Pages>16</Pages>
  <Words>1166</Words>
  <Characters>6651</Characters>
  <Lines>55</Lines>
  <Paragraphs>15</Paragraphs>
  <TotalTime>2</TotalTime>
  <ScaleCrop>false</ScaleCrop>
  <LinksUpToDate>false</LinksUpToDate>
  <CharactersWithSpaces>7802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蔡蓁</dc:creator>
  <cp:lastModifiedBy>符轶君</cp:lastModifiedBy>
  <cp:revision>7</cp:revision>
  <cp:lastPrinted>2022-05-21T05:32:00Z</cp:lastPrinted>
  <dcterms:created xsi:type="dcterms:W3CDTF">2022-06-10T00:22:00Z</dcterms:created>
  <dcterms:modified xsi:type="dcterms:W3CDTF">2022-11-16T02:20:53Z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926A02579BE94C049E76B026D543126F</vt:lpwstr>
  </property>
  <property fmtid="{D5CDD505-2E9C-101B-9397-08002B2CF9AE}" pid="4" name="ContentTypeId">
    <vt:lpwstr>0x0101000E70836B3C344840AC266AC8DA5B0D41</vt:lpwstr>
  </property>
</Properties>
</file>