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55" w:type="dxa"/>
        <w:tblInd w:w="392" w:type="dxa"/>
        <w:tblLayout w:type="fixed"/>
        <w:tblCellMar>
          <w:top w:w="0" w:type="dxa"/>
          <w:left w:w="108" w:type="dxa"/>
          <w:bottom w:w="0" w:type="dxa"/>
          <w:right w:w="108" w:type="dxa"/>
        </w:tblCellMar>
      </w:tblPr>
      <w:tblGrid>
        <w:gridCol w:w="457"/>
        <w:gridCol w:w="2143"/>
        <w:gridCol w:w="4197"/>
        <w:gridCol w:w="1760"/>
        <w:gridCol w:w="1760"/>
        <w:gridCol w:w="1760"/>
        <w:gridCol w:w="1100"/>
        <w:gridCol w:w="1978"/>
      </w:tblGrid>
      <w:tr>
        <w:tblPrEx>
          <w:tblCellMar>
            <w:top w:w="0" w:type="dxa"/>
            <w:left w:w="108" w:type="dxa"/>
            <w:bottom w:w="0" w:type="dxa"/>
            <w:right w:w="108" w:type="dxa"/>
          </w:tblCellMar>
        </w:tblPrEx>
        <w:trPr>
          <w:trHeight w:val="570" w:hRule="atLeast"/>
        </w:trPr>
        <w:tc>
          <w:tcPr>
            <w:tcW w:w="15155" w:type="dxa"/>
            <w:gridSpan w:val="8"/>
            <w:tcBorders>
              <w:top w:val="nil"/>
              <w:left w:val="nil"/>
              <w:bottom w:val="single" w:color="auto" w:sz="4" w:space="0"/>
              <w:right w:val="nil"/>
            </w:tcBorders>
            <w:vAlign w:val="center"/>
          </w:tcPr>
          <w:p>
            <w:pPr>
              <w:widowControl/>
              <w:jc w:val="center"/>
              <w:rPr>
                <w:rFonts w:ascii="宋体" w:hAnsi="宋体"/>
                <w:b/>
                <w:bCs/>
                <w:color w:val="000000"/>
                <w:kern w:val="0"/>
              </w:rPr>
            </w:pPr>
            <w:r>
              <w:rPr>
                <w:rFonts w:hint="eastAsia" w:ascii="宋体" w:hAnsi="宋体"/>
                <w:b/>
                <w:bCs/>
                <w:color w:val="000000"/>
                <w:kern w:val="0"/>
              </w:rPr>
              <w:t>竞争性选商最低价评审法评分表（否决项+商务部分）</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202</w:t>
            </w:r>
            <w:r>
              <w:rPr>
                <w:rFonts w:hint="default" w:ascii="宋体" w:hAnsi="宋体"/>
                <w:b/>
                <w:bCs/>
                <w:color w:val="000000"/>
                <w:kern w:val="0"/>
                <w:sz w:val="22"/>
                <w:szCs w:val="22"/>
                <w:lang w:val="en-US"/>
              </w:rPr>
              <w:t>3</w:t>
            </w:r>
            <w:r>
              <w:rPr>
                <w:rFonts w:hint="eastAsia" w:ascii="宋体" w:hAnsi="宋体"/>
                <w:b/>
                <w:bCs/>
                <w:color w:val="000000"/>
                <w:kern w:val="0"/>
                <w:sz w:val="22"/>
                <w:szCs w:val="22"/>
              </w:rPr>
              <w:t>年</w:t>
            </w:r>
            <w:r>
              <w:rPr>
                <w:rFonts w:hint="eastAsia" w:ascii="宋体" w:hAnsi="宋体"/>
                <w:b/>
                <w:bCs/>
                <w:color w:val="000000"/>
                <w:kern w:val="0"/>
                <w:sz w:val="22"/>
                <w:szCs w:val="22"/>
                <w:lang w:val="en-US" w:eastAsia="zh-CN"/>
              </w:rPr>
              <w:t>公司消防设施维保及维修</w:t>
            </w:r>
            <w:r>
              <w:rPr>
                <w:rFonts w:hint="eastAsia" w:ascii="宋体" w:hAnsi="宋体"/>
                <w:b/>
                <w:bCs/>
                <w:color w:val="000000"/>
                <w:kern w:val="0"/>
                <w:sz w:val="22"/>
                <w:szCs w:val="22"/>
              </w:rPr>
              <w:t xml:space="preserve">                     评审人签名：</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一、否决项（出现任何一项不符合项，即否决，不得参加评审）</w:t>
            </w:r>
          </w:p>
        </w:tc>
      </w:tr>
      <w:tr>
        <w:tblPrEx>
          <w:tblCellMar>
            <w:top w:w="0" w:type="dxa"/>
            <w:left w:w="108" w:type="dxa"/>
            <w:bottom w:w="0" w:type="dxa"/>
            <w:right w:w="108" w:type="dxa"/>
          </w:tblCellMar>
        </w:tblPrEx>
        <w:trPr>
          <w:trHeight w:val="555" w:hRule="atLeast"/>
        </w:trPr>
        <w:tc>
          <w:tcPr>
            <w:tcW w:w="4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21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评分项目</w:t>
            </w:r>
          </w:p>
        </w:tc>
        <w:tc>
          <w:tcPr>
            <w:tcW w:w="41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是否符合</w:t>
            </w:r>
          </w:p>
        </w:tc>
        <w:tc>
          <w:tcPr>
            <w:tcW w:w="307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备注</w:t>
            </w:r>
          </w:p>
        </w:tc>
      </w:tr>
      <w:tr>
        <w:tblPrEx>
          <w:tblCellMar>
            <w:top w:w="0" w:type="dxa"/>
            <w:left w:w="108" w:type="dxa"/>
            <w:bottom w:w="0" w:type="dxa"/>
            <w:right w:w="108" w:type="dxa"/>
          </w:tblCellMar>
        </w:tblPrEx>
        <w:trPr>
          <w:trHeight w:val="43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sz w:val="21"/>
                <w:szCs w:val="21"/>
                <w:lang w:eastAsia="zh-CN"/>
                <w14:textFill>
                  <w14:solidFill>
                    <w14:schemeClr w14:val="tx1"/>
                  </w14:solidFill>
                </w14:textFill>
              </w:rPr>
            </w:pPr>
          </w:p>
        </w:tc>
        <w:tc>
          <w:tcPr>
            <w:tcW w:w="3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r>
      <w:tr>
        <w:tblPrEx>
          <w:tblCellMar>
            <w:top w:w="0" w:type="dxa"/>
            <w:left w:w="108" w:type="dxa"/>
            <w:bottom w:w="0" w:type="dxa"/>
            <w:right w:w="108" w:type="dxa"/>
          </w:tblCellMar>
        </w:tblPrEx>
        <w:trPr>
          <w:trHeight w:val="142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响应文件密封并及时送达</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响应文件密封并且未损坏，响应文件在响应有效期限内送达</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《竞争性选商响应文件寄（送）达记录》由经办人在送达时点即时记录，评审时现场出示</w:t>
            </w:r>
          </w:p>
        </w:tc>
      </w:tr>
      <w:tr>
        <w:tblPrEx>
          <w:tblCellMar>
            <w:top w:w="0" w:type="dxa"/>
            <w:left w:w="108" w:type="dxa"/>
            <w:bottom w:w="0" w:type="dxa"/>
            <w:right w:w="108" w:type="dxa"/>
          </w:tblCellMar>
        </w:tblPrEx>
        <w:trPr>
          <w:trHeight w:val="208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营业执照、行业许可证书或资质证书</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证书、资料等真实有效</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响应人声明情况属实，提供的证书、资料等没有弄虚作假</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84"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严重过违法违规受到行政处罚和过错责任引发诉讼</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没有因严重违法违规行为受到行政处罚或因存在严重违约、失信等过错责任引发诉讼的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36"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未被“信用中国”、“国家企业信用信息公司系统”等信用信息共享平台列入严重违法失信企业名单、失信人执行名单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32"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6</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没有在最近三年内因违法违规行为造成较大社会影响或被政府部门、行业组织等列入“黑名单”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7</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没有因在中石化总部及其分子公司选商和签订、履行合同时严重违约违规等而被列入“黑名单”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696"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8</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一般违法违规及失信情况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highlight w:val="yellow"/>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近三年内一般违法违规及失信的数量较少，且经分析和评审认为不存在很大的合作风险</w:t>
            </w:r>
            <w:r>
              <w:rPr>
                <w:rFonts w:hint="eastAsia" w:ascii="宋体" w:hAnsi="宋体"/>
                <w:color w:val="000000" w:themeColor="text1"/>
                <w:kern w:val="0"/>
                <w:sz w:val="22"/>
                <w:szCs w:val="22"/>
                <w14:textFill>
                  <w14:solidFill>
                    <w14:schemeClr w14:val="tx1"/>
                  </w14:solidFill>
                </w14:textFill>
              </w:rPr>
              <w:t xml:space="preserve">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9</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虚假竞争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未发生负责人为同一人的不同响应人或者存在控股、管理等关联关系的不同响应人，对同一标段或者未划分标段的同一竞争性选商业务进行响应的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0</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违法违规的响应</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未发生响应人有以他人的名义响应、串通响应、以行贿手段谋取成交或以其他弄虚作假方式响应的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154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w:t>
            </w: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恶性竞争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响应人的报价明显低于其他响应人报价的或低于经测算已设定的底价，谈判小组要求其澄清时，该响应人不能合理说明或者不能提供相关证明材料，谈判小组认定该响应为恶性竞争行为的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6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响应文件与竞争性选商文件重大偏差</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响应文件不存在重大偏差（重大偏差是指：未对竞争性谈判文件的实质性要求和条件作出有效响应，包括A 按照竞争性谈判文件要求全面做出响应保证或做出的响应保证有较大瑕疵的；B 响应文件未经响应人盖章和响应人法定代表人（或授权委托人）签字，或虽有授权委托人签字，但授权委托书上无法定代表人签字的；C 响应文件载明的竞争性谈判业务完成期限超过了竞争性谈判文件规定期限的；D 明显不符合技术规格、技术标准要求的；E 响应文件载明的货物包装方式、检验标准和方法等不符合竞争性谈判文件要求的；F 响应文件中另行附有竞争性谈判邀请人不能接受的条件的；G 不符合竞争性谈判文件中规定的其他实质性要求的）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84"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澄清、说明或者补正</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应按照要求对响应文件进行澄清、说明或者补正的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72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其它</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olor w:val="000000"/>
                <w:kern w:val="0"/>
                <w:sz w:val="22"/>
                <w:szCs w:val="22"/>
                <w:lang w:val="en-US" w:eastAsia="zh-CN"/>
              </w:rPr>
            </w:pPr>
            <w:r>
              <w:rPr>
                <w:rFonts w:hint="default" w:ascii="宋体" w:hAnsi="宋体"/>
                <w:color w:val="000000"/>
                <w:kern w:val="0"/>
                <w:sz w:val="22"/>
                <w:szCs w:val="22"/>
                <w:lang w:val="en-US"/>
              </w:rPr>
              <w:t>1</w:t>
            </w:r>
            <w:r>
              <w:rPr>
                <w:rFonts w:hint="eastAsia" w:ascii="宋体" w:hAnsi="宋体"/>
                <w:color w:val="000000"/>
                <w:kern w:val="0"/>
                <w:sz w:val="22"/>
                <w:szCs w:val="22"/>
                <w:lang w:val="en-US" w:eastAsia="zh-CN"/>
              </w:rPr>
              <w:t>、</w:t>
            </w:r>
            <w:r>
              <w:rPr>
                <w:rFonts w:hint="eastAsia" w:ascii="宋体" w:hAnsi="宋体"/>
                <w:color w:val="000000"/>
                <w:kern w:val="0"/>
                <w:sz w:val="22"/>
                <w:szCs w:val="22"/>
              </w:rPr>
              <w:t>投标方应在招标方附件区域有固定的办事处，24小时有人值班，确保（</w:t>
            </w:r>
            <w:r>
              <w:rPr>
                <w:rFonts w:hint="eastAsia" w:ascii="宋体" w:hAnsi="宋体"/>
                <w:color w:val="000000"/>
                <w:kern w:val="0"/>
                <w:sz w:val="22"/>
                <w:szCs w:val="22"/>
                <w:lang w:val="en-US" w:eastAsia="zh-CN"/>
              </w:rPr>
              <w:t>半小时内到达故障现场，</w:t>
            </w:r>
            <w:r>
              <w:rPr>
                <w:rFonts w:hint="eastAsia" w:ascii="宋体" w:hAnsi="宋体"/>
                <w:color w:val="000000"/>
                <w:kern w:val="0"/>
                <w:sz w:val="22"/>
                <w:szCs w:val="22"/>
              </w:rPr>
              <w:t>一般故障2小时内得到消除，重大缺陷在24小时内）消除。</w:t>
            </w:r>
          </w:p>
          <w:p>
            <w:pPr>
              <w:widowControl/>
              <w:jc w:val="left"/>
              <w:rPr>
                <w:rFonts w:hint="eastAsia" w:ascii="宋体" w:hAnsi="宋体"/>
                <w:color w:val="000000"/>
                <w:kern w:val="0"/>
                <w:sz w:val="22"/>
                <w:szCs w:val="22"/>
                <w:lang w:val="en-US" w:eastAsia="zh-CN"/>
              </w:rPr>
            </w:pPr>
            <w:r>
              <w:rPr>
                <w:rFonts w:hint="default" w:ascii="宋体" w:hAnsi="宋体"/>
                <w:color w:val="000000"/>
                <w:kern w:val="0"/>
                <w:sz w:val="22"/>
                <w:szCs w:val="22"/>
                <w:lang w:val="en-US" w:eastAsia="zh-CN"/>
              </w:rPr>
              <w:t>2</w:t>
            </w:r>
            <w:r>
              <w:rPr>
                <w:rFonts w:hint="eastAsia" w:ascii="宋体" w:hAnsi="宋体"/>
                <w:color w:val="000000"/>
                <w:kern w:val="0"/>
                <w:sz w:val="22"/>
                <w:szCs w:val="22"/>
                <w:lang w:val="en-US" w:eastAsia="zh-CN"/>
              </w:rPr>
              <w:t>、投标方应该储备足够的与招标方现在运行的火灾报警系统的相配套的备品备件，保证及时更换失效的设备。</w:t>
            </w:r>
          </w:p>
          <w:p>
            <w:pPr>
              <w:widowControl/>
              <w:jc w:val="left"/>
              <w:rPr>
                <w:rFonts w:hint="eastAsia" w:ascii="宋体" w:hAnsi="宋体"/>
                <w:color w:val="000000"/>
                <w:kern w:val="0"/>
                <w:sz w:val="22"/>
                <w:szCs w:val="22"/>
                <w:lang w:val="en-US" w:eastAsia="zh-CN"/>
              </w:rPr>
            </w:pPr>
            <w:r>
              <w:rPr>
                <w:rFonts w:hint="default" w:ascii="宋体" w:hAnsi="宋体"/>
                <w:color w:val="000000"/>
                <w:kern w:val="0"/>
                <w:sz w:val="22"/>
                <w:szCs w:val="22"/>
                <w:lang w:val="en-US" w:eastAsia="zh-CN"/>
              </w:rPr>
              <w:t>3</w:t>
            </w:r>
            <w:r>
              <w:rPr>
                <w:rFonts w:hint="eastAsia" w:ascii="宋体" w:hAnsi="宋体"/>
                <w:color w:val="000000"/>
                <w:kern w:val="0"/>
                <w:sz w:val="22"/>
                <w:szCs w:val="22"/>
                <w:lang w:val="en-US" w:eastAsia="zh-CN"/>
              </w:rPr>
              <w:t>、近三年石化类企业维保业绩合同</w:t>
            </w:r>
          </w:p>
          <w:p>
            <w:pPr>
              <w:widowControl/>
              <w:jc w:val="left"/>
              <w:rPr>
                <w:rFonts w:hint="eastAsia" w:ascii="宋体" w:hAnsi="宋体"/>
                <w:color w:val="000000"/>
                <w:kern w:val="0"/>
                <w:sz w:val="22"/>
                <w:szCs w:val="22"/>
                <w:lang w:val="en-US" w:eastAsia="zh-CN"/>
              </w:rPr>
            </w:pPr>
            <w:r>
              <w:rPr>
                <w:rFonts w:hint="default" w:ascii="宋体" w:hAnsi="宋体"/>
                <w:color w:val="000000"/>
                <w:kern w:val="0"/>
                <w:sz w:val="22"/>
                <w:szCs w:val="22"/>
                <w:lang w:val="en-US" w:eastAsia="zh-CN"/>
              </w:rPr>
              <w:t>4</w:t>
            </w:r>
            <w:r>
              <w:rPr>
                <w:rFonts w:hint="eastAsia" w:ascii="宋体" w:hAnsi="宋体"/>
                <w:color w:val="000000"/>
                <w:kern w:val="0"/>
                <w:sz w:val="22"/>
                <w:szCs w:val="22"/>
                <w:lang w:val="en-US" w:eastAsia="zh-CN"/>
              </w:rPr>
              <w:t>、具备有效的消防技术服务机构资质证书，现场常驻维保人员6人以上，维保人员应持有个人有效注册消防工程师证书或消防（建）构筑员证书并注册在本单位。提供现场服务维保人员社保证明。</w:t>
            </w:r>
          </w:p>
          <w:p>
            <w:pPr>
              <w:pStyle w:val="2"/>
              <w:spacing w:line="360" w:lineRule="auto"/>
              <w:ind w:left="0" w:leftChars="0" w:firstLine="0" w:firstLineChars="0"/>
              <w:rPr>
                <w:rFonts w:hint="default" w:ascii="宋体" w:hAnsi="宋体"/>
                <w:color w:val="000000"/>
                <w:kern w:val="0"/>
                <w:sz w:val="22"/>
                <w:szCs w:val="22"/>
                <w:lang w:val="en-US" w:eastAsia="zh-CN"/>
              </w:rPr>
            </w:pPr>
            <w:r>
              <w:rPr>
                <w:rFonts w:hint="default" w:ascii="宋体" w:hAnsi="宋体" w:eastAsia="宋体" w:cs="Times New Roman"/>
                <w:color w:val="000000"/>
                <w:kern w:val="0"/>
                <w:sz w:val="22"/>
                <w:szCs w:val="22"/>
                <w:lang w:val="en-US" w:eastAsia="zh-CN" w:bidi="ar-SA"/>
              </w:rPr>
              <w:t>5</w:t>
            </w:r>
            <w:r>
              <w:rPr>
                <w:rFonts w:hint="eastAsia" w:ascii="宋体" w:hAnsi="宋体" w:eastAsia="宋体" w:cs="Times New Roman"/>
                <w:color w:val="000000"/>
                <w:kern w:val="0"/>
                <w:sz w:val="22"/>
                <w:szCs w:val="22"/>
                <w:lang w:val="en-US" w:eastAsia="zh-CN" w:bidi="ar-SA"/>
              </w:rPr>
              <w:t>、符合消防设施维护保养从业条件</w:t>
            </w:r>
            <w:r>
              <w:rPr>
                <w:rFonts w:hint="eastAsia" w:ascii="宋体" w:hAnsi="宋体" w:cs="Times New Roman"/>
                <w:color w:val="000000"/>
                <w:kern w:val="0"/>
                <w:sz w:val="22"/>
                <w:szCs w:val="22"/>
                <w:lang w:val="en-US" w:eastAsia="zh-CN" w:bidi="ar-SA"/>
              </w:rPr>
              <w:t>及资质要求的</w:t>
            </w:r>
            <w:r>
              <w:rPr>
                <w:rFonts w:hint="eastAsia" w:ascii="宋体" w:hAnsi="宋体" w:eastAsia="宋体" w:cs="Times New Roman"/>
                <w:color w:val="000000"/>
                <w:kern w:val="0"/>
                <w:sz w:val="22"/>
                <w:szCs w:val="22"/>
                <w:lang w:val="en-US" w:eastAsia="zh-CN" w:bidi="ar-SA"/>
              </w:rPr>
              <w:t>。</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报价唯一性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商务标报价符合邀请文件格式要求，且只能有一个有效报价</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16</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报价有效性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报价未超过方案中设定的最高限价（最高限价计算方法）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highlight w:val="yellow"/>
              </w:rPr>
            </w:pPr>
          </w:p>
        </w:tc>
      </w:tr>
      <w:tr>
        <w:tblPrEx>
          <w:tblCellMar>
            <w:top w:w="0" w:type="dxa"/>
            <w:left w:w="108" w:type="dxa"/>
            <w:bottom w:w="0" w:type="dxa"/>
            <w:right w:w="108" w:type="dxa"/>
          </w:tblCellMar>
        </w:tblPrEx>
        <w:trPr>
          <w:trHeight w:val="840"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b/>
                <w:bCs/>
                <w:color w:val="000000"/>
                <w:kern w:val="0"/>
                <w:sz w:val="22"/>
                <w:szCs w:val="22"/>
              </w:rPr>
            </w:pPr>
            <w:bookmarkStart w:id="0" w:name="_GoBack"/>
            <w:bookmarkEnd w:id="0"/>
          </w:p>
          <w:p>
            <w:pPr>
              <w:widowControl/>
              <w:numPr>
                <w:ilvl w:val="0"/>
                <w:numId w:val="1"/>
              </w:numPr>
              <w:jc w:val="left"/>
              <w:rPr>
                <w:rFonts w:hint="eastAsia" w:ascii="宋体" w:hAnsi="宋体"/>
                <w:b/>
                <w:bCs/>
                <w:color w:val="000000"/>
                <w:kern w:val="0"/>
                <w:sz w:val="22"/>
                <w:szCs w:val="22"/>
              </w:rPr>
            </w:pPr>
            <w:r>
              <w:rPr>
                <w:rFonts w:hint="eastAsia" w:ascii="宋体" w:hAnsi="宋体"/>
                <w:b/>
                <w:bCs/>
                <w:color w:val="000000"/>
                <w:kern w:val="0"/>
                <w:sz w:val="22"/>
                <w:szCs w:val="22"/>
              </w:rPr>
              <w:t>商务部分评分项：权重</w:t>
            </w:r>
            <w:r>
              <w:rPr>
                <w:rFonts w:hint="eastAsia" w:ascii="宋体" w:hAnsi="宋体"/>
                <w:b/>
                <w:bCs/>
                <w:kern w:val="0"/>
                <w:sz w:val="22"/>
                <w:szCs w:val="22"/>
              </w:rPr>
              <w:t>100%（</w:t>
            </w:r>
            <w:r>
              <w:rPr>
                <w:rFonts w:hint="eastAsia" w:ascii="宋体" w:hAnsi="宋体"/>
                <w:b/>
                <w:bCs/>
                <w:color w:val="000000"/>
                <w:kern w:val="0"/>
                <w:sz w:val="22"/>
                <w:szCs w:val="22"/>
              </w:rPr>
              <w:t>若有分项报价的，应按总价进行评审打分）</w:t>
            </w:r>
          </w:p>
          <w:p>
            <w:pPr>
              <w:widowControl/>
              <w:numPr>
                <w:ilvl w:val="0"/>
                <w:numId w:val="0"/>
              </w:numPr>
              <w:jc w:val="left"/>
              <w:rPr>
                <w:rFonts w:hint="eastAsia" w:ascii="宋体" w:hAnsi="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序号</w:t>
            </w:r>
          </w:p>
        </w:tc>
        <w:tc>
          <w:tcPr>
            <w:tcW w:w="2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评分项目</w:t>
            </w:r>
          </w:p>
        </w:tc>
        <w:tc>
          <w:tcPr>
            <w:tcW w:w="41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rPr>
            </w:pPr>
            <w:r>
              <w:rPr>
                <w:rFonts w:hint="eastAsia" w:ascii="宋体" w:hAnsi="宋体"/>
                <w:b/>
                <w:bCs/>
                <w:kern w:val="0"/>
              </w:rPr>
              <w:t>实际得分</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标准分</w:t>
            </w:r>
          </w:p>
        </w:tc>
        <w:tc>
          <w:tcPr>
            <w:tcW w:w="19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备注</w:t>
            </w:r>
          </w:p>
        </w:tc>
      </w:tr>
      <w:tr>
        <w:tblPrEx>
          <w:tblCellMar>
            <w:top w:w="0" w:type="dxa"/>
            <w:left w:w="108" w:type="dxa"/>
            <w:bottom w:w="0" w:type="dxa"/>
            <w:right w:w="108" w:type="dxa"/>
          </w:tblCellMar>
        </w:tblPrEx>
        <w:trPr>
          <w:trHeight w:val="67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r>
      <w:tr>
        <w:tblPrEx>
          <w:tblCellMar>
            <w:top w:w="0" w:type="dxa"/>
            <w:left w:w="108" w:type="dxa"/>
            <w:bottom w:w="0" w:type="dxa"/>
            <w:right w:w="108" w:type="dxa"/>
          </w:tblCellMar>
        </w:tblPrEx>
        <w:trPr>
          <w:trHeight w:val="1800"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方案一</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最低评价法</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1.响应人有效报价=最低有效评审价时：得100分；</w:t>
            </w:r>
            <w:r>
              <w:rPr>
                <w:rFonts w:hint="eastAsia" w:ascii="宋体" w:hAnsi="宋体"/>
                <w:color w:val="000000"/>
                <w:kern w:val="0"/>
                <w:sz w:val="22"/>
                <w:szCs w:val="22"/>
              </w:rPr>
              <w:br w:type="textWrapping"/>
            </w:r>
            <w:r>
              <w:rPr>
                <w:rFonts w:hint="eastAsia" w:ascii="宋体" w:hAnsi="宋体"/>
                <w:color w:val="000000"/>
                <w:kern w:val="0"/>
                <w:sz w:val="22"/>
                <w:szCs w:val="22"/>
              </w:rPr>
              <w:t>2.其余响应人得分=（最低有效评审价/该响应人有效评审价）×100</w:t>
            </w:r>
            <w:r>
              <w:rPr>
                <w:rFonts w:hint="eastAsia" w:ascii="宋体" w:hAnsi="宋体"/>
                <w:color w:val="000000"/>
                <w:kern w:val="0"/>
                <w:sz w:val="22"/>
                <w:szCs w:val="22"/>
              </w:rPr>
              <w:br w:type="textWrapping"/>
            </w:r>
            <w:r>
              <w:rPr>
                <w:rFonts w:hint="eastAsia" w:ascii="宋体" w:hAnsi="宋体"/>
                <w:color w:val="000000"/>
                <w:kern w:val="0"/>
                <w:sz w:val="22"/>
                <w:szCs w:val="22"/>
              </w:rPr>
              <w:t>3.结果保留小数点后二位。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报价部分得分合计</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报价部分加权得分（报价部分得分合计×权重）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bl>
    <w:p>
      <w:pPr>
        <w:rPr>
          <w:rFonts w:hint="eastAsia"/>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F1865"/>
    <w:multiLevelType w:val="singleLevel"/>
    <w:tmpl w:val="569F18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13"/>
    <w:rsid w:val="000B33EA"/>
    <w:rsid w:val="00182994"/>
    <w:rsid w:val="006F4DCE"/>
    <w:rsid w:val="00AB0513"/>
    <w:rsid w:val="00C26669"/>
    <w:rsid w:val="00DE19C7"/>
    <w:rsid w:val="05CF40D9"/>
    <w:rsid w:val="1E5D6B80"/>
    <w:rsid w:val="29294204"/>
    <w:rsid w:val="307C06DF"/>
    <w:rsid w:val="3BF46EF9"/>
    <w:rsid w:val="49AF0580"/>
    <w:rsid w:val="4B2726A2"/>
    <w:rsid w:val="5BE00BBF"/>
    <w:rsid w:val="5D734A9D"/>
    <w:rsid w:val="6EDD7F62"/>
    <w:rsid w:val="72526E2F"/>
    <w:rsid w:val="7F78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02"/>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7EE3398-F2F3-41F3-B8E7-402DE8D8379A}"/>
</file>

<file path=customXml/itemProps3.xml><?xml version="1.0" encoding="utf-8"?>
<ds:datastoreItem xmlns:ds="http://schemas.openxmlformats.org/officeDocument/2006/customXml" ds:itemID="{B2F520A5-8B95-4781-A7F1-D0C0787B7B47}"/>
</file>

<file path=customXml/itemProps4.xml><?xml version="1.0" encoding="utf-8"?>
<ds:datastoreItem xmlns:ds="http://schemas.openxmlformats.org/officeDocument/2006/customXml" ds:itemID="{A5C9655E-1582-4590-BFA2-7594B2CE4076}"/>
</file>

<file path=docProps/app.xml><?xml version="1.0" encoding="utf-8"?>
<Properties xmlns="http://schemas.openxmlformats.org/officeDocument/2006/extended-properties" xmlns:vt="http://schemas.openxmlformats.org/officeDocument/2006/docPropsVTypes">
  <Template>Normal</Template>
  <Company>Sky123.Org</Company>
  <Pages>7</Pages>
  <Words>345</Words>
  <Characters>1973</Characters>
  <Lines>16</Lines>
  <Paragraphs>4</Paragraphs>
  <TotalTime>19</TotalTime>
  <ScaleCrop>false</ScaleCrop>
  <LinksUpToDate>false</LinksUpToDate>
  <CharactersWithSpaces>2314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黄晓宇</dc:creator>
  <cp:lastModifiedBy>黄晓宇</cp:lastModifiedBy>
  <cp:revision>1</cp:revision>
  <cp:lastPrinted>2022-11-24T06:20:00Z</cp:lastPrinted>
  <dcterms:created xsi:type="dcterms:W3CDTF">2022-06-15T01:28:00Z</dcterms:created>
  <dcterms:modified xsi:type="dcterms:W3CDTF">2022-12-05T05:12:48Z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931D36F1421F40398F589E9F677EAFEA</vt:lpwstr>
  </property>
  <property fmtid="{D5CDD505-2E9C-101B-9397-08002B2CF9AE}" pid="4" name="ContentTypeId">
    <vt:lpwstr>0x0101000E70836B3C344840AC266AC8DA5B0D41</vt:lpwstr>
  </property>
</Properties>
</file>