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p>
    <w:p>
      <w:pPr>
        <w:spacing w:line="240" w:lineRule="auto"/>
        <w:jc w:val="center"/>
        <w:rPr>
          <w:rFonts w:hint="eastAsia" w:ascii="楷体_GB2312" w:eastAsia="楷体_GB2312"/>
          <w:b/>
          <w:color w:val="FF0000"/>
          <w:sz w:val="44"/>
          <w:szCs w:val="44"/>
          <w:lang w:eastAsia="zh-CN"/>
        </w:rPr>
      </w:pPr>
      <w:r>
        <w:rPr>
          <w:rFonts w:hint="eastAsia" w:ascii="楷体_GB2312" w:eastAsia="楷体_GB2312"/>
          <w:b/>
          <w:sz w:val="44"/>
          <w:szCs w:val="44"/>
        </w:rPr>
        <w:t>202</w:t>
      </w:r>
      <w:r>
        <w:rPr>
          <w:rFonts w:hint="eastAsia" w:ascii="楷体_GB2312" w:eastAsia="楷体_GB2312"/>
          <w:b/>
          <w:sz w:val="44"/>
          <w:szCs w:val="44"/>
          <w:lang w:val="en-US" w:eastAsia="zh-CN"/>
        </w:rPr>
        <w:t>3</w:t>
      </w:r>
      <w:r>
        <w:rPr>
          <w:rFonts w:hint="eastAsia" w:ascii="楷体_GB2312" w:eastAsia="楷体_GB2312"/>
          <w:b/>
          <w:sz w:val="44"/>
          <w:szCs w:val="44"/>
        </w:rPr>
        <w:t>年</w:t>
      </w:r>
      <w:r>
        <w:rPr>
          <w:rFonts w:hint="eastAsia" w:ascii="楷体_GB2312" w:eastAsia="楷体_GB2312"/>
          <w:b/>
          <w:sz w:val="44"/>
          <w:szCs w:val="44"/>
          <w:lang w:eastAsia="zh-CN"/>
        </w:rPr>
        <w:t>动</w:t>
      </w:r>
      <w:r>
        <w:rPr>
          <w:rFonts w:hint="eastAsia" w:ascii="楷体_GB2312" w:eastAsia="楷体_GB2312"/>
          <w:b/>
          <w:sz w:val="44"/>
          <w:szCs w:val="44"/>
        </w:rPr>
        <w:t>设备更新施工</w:t>
      </w:r>
      <w:r>
        <w:rPr>
          <w:rFonts w:hint="eastAsia" w:ascii="楷体_GB2312" w:eastAsia="楷体_GB2312"/>
          <w:b/>
          <w:sz w:val="44"/>
          <w:szCs w:val="44"/>
          <w:lang w:eastAsia="zh-CN"/>
        </w:rPr>
        <w:t>项目合同</w:t>
      </w:r>
    </w:p>
    <w:p>
      <w:pPr>
        <w:spacing w:line="240" w:lineRule="auto"/>
        <w:jc w:val="center"/>
        <w:rPr>
          <w:b/>
          <w:color w:val="000000" w:themeColor="text1"/>
          <w:sz w:val="72"/>
          <w:szCs w:val="72"/>
          <w14:textFill>
            <w14:solidFill>
              <w14:schemeClr w14:val="tx1"/>
            </w14:solidFill>
          </w14:textFill>
        </w:rPr>
      </w:pPr>
      <w:r>
        <w:rPr>
          <w:rFonts w:hint="eastAsia" w:ascii="楷体_GB2312" w:eastAsia="楷体_GB2312"/>
          <w:b/>
          <w:color w:val="000000"/>
          <w:sz w:val="84"/>
          <w:szCs w:val="84"/>
        </w:rPr>
        <w:t>竞争</w:t>
      </w:r>
      <w:r>
        <w:rPr>
          <w:rFonts w:ascii="楷体_GB2312" w:eastAsia="楷体_GB2312"/>
          <w:b/>
          <w:color w:val="000000"/>
          <w:sz w:val="84"/>
          <w:szCs w:val="84"/>
        </w:rPr>
        <w:t>性选商文件</w:t>
      </w:r>
    </w:p>
    <w:tbl>
      <w:tblPr>
        <w:tblStyle w:val="15"/>
        <w:tblpPr w:leftFromText="180" w:rightFromText="180" w:vertAnchor="text" w:horzAnchor="margin" w:tblpY="1525"/>
        <w:tblOverlap w:val="never"/>
        <w:tblW w:w="52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28"/>
        <w:gridCol w:w="6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686" w:type="dxa"/>
          </w:tcPr>
          <w:p>
            <w:pPr>
              <w:spacing w:before="156" w:beforeLines="50" w:after="156" w:afterLines="50" w:line="240" w:lineRule="auto"/>
              <w:rPr>
                <w:rFonts w:ascii="楷体_GB2312" w:eastAsia="楷体_GB2312"/>
                <w:b/>
                <w:color w:val="000000"/>
                <w:spacing w:val="-20"/>
                <w:sz w:val="36"/>
                <w:szCs w:val="36"/>
              </w:rPr>
            </w:pPr>
            <w:r>
              <w:rPr>
                <w:rFonts w:hint="eastAsia" w:ascii="楷体_GB2312" w:eastAsia="楷体_GB2312"/>
                <w:b/>
                <w:color w:val="000000"/>
                <w:spacing w:val="-20"/>
                <w:sz w:val="36"/>
                <w:szCs w:val="36"/>
              </w:rPr>
              <w:t>业务</w:t>
            </w:r>
            <w:r>
              <w:rPr>
                <w:rFonts w:ascii="楷体_GB2312" w:eastAsia="楷体_GB2312"/>
                <w:b/>
                <w:color w:val="000000"/>
                <w:spacing w:val="-20"/>
                <w:sz w:val="36"/>
                <w:szCs w:val="36"/>
              </w:rPr>
              <w:t>（</w:t>
            </w:r>
            <w:r>
              <w:rPr>
                <w:rFonts w:hint="eastAsia" w:ascii="楷体_GB2312" w:eastAsia="楷体_GB2312"/>
                <w:b/>
                <w:color w:val="000000"/>
                <w:spacing w:val="-20"/>
                <w:sz w:val="36"/>
                <w:szCs w:val="36"/>
              </w:rPr>
              <w:t>项目）类别</w:t>
            </w:r>
          </w:p>
        </w:tc>
        <w:tc>
          <w:tcPr>
            <w:tcW w:w="428"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设备更新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2686" w:type="dxa"/>
          </w:tcPr>
          <w:p>
            <w:pPr>
              <w:spacing w:before="156" w:beforeLines="50" w:after="156" w:afterLines="50" w:line="240" w:lineRule="auto"/>
              <w:rPr>
                <w:rFonts w:ascii="楷体_GB2312" w:eastAsia="楷体_GB2312"/>
                <w:b/>
                <w:color w:val="000000"/>
                <w:spacing w:val="-20"/>
                <w:sz w:val="36"/>
                <w:szCs w:val="36"/>
              </w:rPr>
            </w:pPr>
            <w:r>
              <w:rPr>
                <w:rFonts w:hint="eastAsia" w:ascii="楷体_GB2312" w:eastAsia="楷体_GB2312"/>
                <w:b/>
                <w:color w:val="000000"/>
                <w:spacing w:val="-20"/>
                <w:sz w:val="36"/>
                <w:szCs w:val="36"/>
              </w:rPr>
              <w:t>业务</w:t>
            </w:r>
            <w:r>
              <w:rPr>
                <w:rFonts w:ascii="楷体_GB2312" w:eastAsia="楷体_GB2312"/>
                <w:b/>
                <w:color w:val="000000"/>
                <w:spacing w:val="-20"/>
                <w:sz w:val="36"/>
                <w:szCs w:val="36"/>
              </w:rPr>
              <w:t>（</w:t>
            </w:r>
            <w:r>
              <w:rPr>
                <w:rFonts w:hint="eastAsia" w:ascii="楷体_GB2312" w:eastAsia="楷体_GB2312"/>
                <w:b/>
                <w:color w:val="000000"/>
                <w:spacing w:val="-20"/>
                <w:sz w:val="36"/>
                <w:szCs w:val="36"/>
              </w:rPr>
              <w:t>项目）编号</w:t>
            </w:r>
          </w:p>
        </w:tc>
        <w:tc>
          <w:tcPr>
            <w:tcW w:w="428"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Pr>
          <w:p>
            <w:pPr>
              <w:spacing w:before="156" w:beforeLines="50" w:after="156" w:afterLines="50" w:line="240" w:lineRule="auto"/>
              <w:rPr>
                <w:rFonts w:ascii="楷体_GB2312" w:eastAsia="楷体_GB2312"/>
                <w:b/>
                <w:spacing w:val="-2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2686" w:type="dxa"/>
          </w:tcPr>
          <w:p>
            <w:pPr>
              <w:spacing w:before="156" w:beforeLines="50" w:after="156" w:afterLines="50" w:line="240" w:lineRule="auto"/>
              <w:rPr>
                <w:rFonts w:ascii="楷体_GB2312" w:eastAsia="楷体_GB2312"/>
                <w:b/>
                <w:color w:val="000000"/>
                <w:spacing w:val="-20"/>
                <w:sz w:val="36"/>
                <w:szCs w:val="36"/>
              </w:rPr>
            </w:pPr>
            <w:r>
              <w:rPr>
                <w:rFonts w:hint="eastAsia" w:ascii="楷体_GB2312" w:eastAsia="楷体_GB2312"/>
                <w:b/>
                <w:color w:val="000000"/>
                <w:spacing w:val="181"/>
                <w:kern w:val="0"/>
                <w:sz w:val="36"/>
                <w:szCs w:val="36"/>
                <w:fitText w:val="2527" w:id="-1467260416"/>
              </w:rPr>
              <w:t>文件编</w:t>
            </w:r>
            <w:r>
              <w:rPr>
                <w:rFonts w:hint="eastAsia" w:ascii="楷体_GB2312" w:eastAsia="楷体_GB2312"/>
                <w:b/>
                <w:color w:val="000000"/>
                <w:spacing w:val="0"/>
                <w:kern w:val="0"/>
                <w:sz w:val="36"/>
                <w:szCs w:val="36"/>
                <w:fitText w:val="2527" w:id="-1467260416"/>
              </w:rPr>
              <w:t>号</w:t>
            </w:r>
          </w:p>
        </w:tc>
        <w:tc>
          <w:tcPr>
            <w:tcW w:w="428"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Pr>
          <w:p>
            <w:pPr>
              <w:spacing w:before="156" w:beforeLines="50" w:after="156" w:afterLines="50" w:line="240" w:lineRule="auto"/>
              <w:rPr>
                <w:rFonts w:hint="default" w:ascii="楷体_GB2312" w:eastAsia="楷体_GB2312"/>
                <w:b/>
                <w:spacing w:val="-20"/>
                <w:sz w:val="36"/>
                <w:szCs w:val="36"/>
                <w:lang w:val="en-US" w:eastAsia="zh-CN"/>
              </w:rPr>
            </w:pPr>
            <w:r>
              <w:rPr>
                <w:rFonts w:ascii="楷体_GB2312" w:eastAsia="楷体_GB2312"/>
                <w:b/>
                <w:spacing w:val="-20"/>
                <w:sz w:val="36"/>
                <w:szCs w:val="36"/>
              </w:rPr>
              <w:t>设备动力部【2022】-00</w:t>
            </w:r>
            <w:r>
              <w:rPr>
                <w:rFonts w:hint="eastAsia" w:ascii="楷体_GB2312" w:eastAsia="楷体_GB2312"/>
                <w:b/>
                <w:spacing w:val="-20"/>
                <w:sz w:val="36"/>
                <w:szCs w:val="36"/>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686" w:type="dxa"/>
          </w:tcPr>
          <w:p>
            <w:pPr>
              <w:spacing w:before="156" w:beforeLines="50" w:after="156" w:afterLines="50" w:line="240" w:lineRule="auto"/>
              <w:rPr>
                <w:rFonts w:ascii="楷体_GB2312" w:eastAsia="楷体_GB2312"/>
                <w:b/>
                <w:color w:val="000000"/>
                <w:spacing w:val="-20"/>
                <w:sz w:val="36"/>
                <w:szCs w:val="36"/>
              </w:rPr>
            </w:pPr>
            <w:r>
              <w:rPr>
                <w:rFonts w:hint="eastAsia" w:ascii="楷体_GB2312" w:eastAsia="楷体_GB2312"/>
                <w:b/>
                <w:color w:val="000000"/>
                <w:spacing w:val="361"/>
                <w:kern w:val="0"/>
                <w:sz w:val="36"/>
                <w:szCs w:val="36"/>
                <w:fitText w:val="2527" w:id="-1467260415"/>
              </w:rPr>
              <w:t>邀请</w:t>
            </w:r>
            <w:r>
              <w:rPr>
                <w:rFonts w:hint="eastAsia" w:ascii="楷体_GB2312" w:eastAsia="楷体_GB2312"/>
                <w:b/>
                <w:color w:val="000000"/>
                <w:spacing w:val="1"/>
                <w:kern w:val="0"/>
                <w:sz w:val="36"/>
                <w:szCs w:val="36"/>
                <w:fitText w:val="2527" w:id="-1467260415"/>
              </w:rPr>
              <w:t>人</w:t>
            </w:r>
          </w:p>
        </w:tc>
        <w:tc>
          <w:tcPr>
            <w:tcW w:w="428"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中国石化上海高桥石油化工有限公司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86" w:type="dxa"/>
          </w:tcPr>
          <w:p>
            <w:pPr>
              <w:spacing w:before="156" w:beforeLines="50" w:after="156" w:afterLines="50" w:line="240" w:lineRule="auto"/>
              <w:rPr>
                <w:rFonts w:ascii="楷体_GB2312" w:eastAsia="楷体_GB2312"/>
                <w:b/>
                <w:color w:val="000000"/>
                <w:spacing w:val="-20"/>
                <w:sz w:val="36"/>
                <w:szCs w:val="36"/>
              </w:rPr>
            </w:pPr>
            <w:r>
              <w:rPr>
                <w:rFonts w:hint="eastAsia" w:ascii="楷体_GB2312" w:eastAsia="楷体_GB2312"/>
                <w:b/>
                <w:color w:val="000000"/>
                <w:spacing w:val="903"/>
                <w:kern w:val="0"/>
                <w:sz w:val="36"/>
                <w:szCs w:val="36"/>
                <w:fitText w:val="2527" w:id="-1467260414"/>
              </w:rPr>
              <w:t>日</w:t>
            </w:r>
            <w:r>
              <w:rPr>
                <w:rFonts w:hint="eastAsia" w:ascii="楷体_GB2312" w:eastAsia="楷体_GB2312"/>
                <w:b/>
                <w:color w:val="000000"/>
                <w:spacing w:val="0"/>
                <w:kern w:val="0"/>
                <w:sz w:val="36"/>
                <w:szCs w:val="36"/>
                <w:fitText w:val="2527" w:id="-1467260414"/>
              </w:rPr>
              <w:t>期</w:t>
            </w:r>
          </w:p>
        </w:tc>
        <w:tc>
          <w:tcPr>
            <w:tcW w:w="428"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pacing w:val="-20"/>
                <w:sz w:val="36"/>
                <w:szCs w:val="36"/>
              </w:rPr>
              <w:t>：</w:t>
            </w:r>
          </w:p>
        </w:tc>
        <w:tc>
          <w:tcPr>
            <w:tcW w:w="6539" w:type="dxa"/>
          </w:tcPr>
          <w:p>
            <w:pPr>
              <w:spacing w:before="156" w:beforeLines="50" w:after="156" w:afterLines="50" w:line="240" w:lineRule="auto"/>
              <w:rPr>
                <w:rFonts w:ascii="楷体_GB2312" w:eastAsia="楷体_GB2312"/>
                <w:b/>
                <w:spacing w:val="-20"/>
                <w:sz w:val="36"/>
                <w:szCs w:val="36"/>
              </w:rPr>
            </w:pPr>
            <w:r>
              <w:rPr>
                <w:rFonts w:hint="eastAsia" w:ascii="楷体_GB2312" w:eastAsia="楷体_GB2312"/>
                <w:b/>
                <w:sz w:val="36"/>
                <w:szCs w:val="36"/>
              </w:rPr>
              <w:t>2</w:t>
            </w:r>
            <w:r>
              <w:rPr>
                <w:rFonts w:ascii="楷体_GB2312" w:eastAsia="楷体_GB2312"/>
                <w:b/>
                <w:sz w:val="36"/>
                <w:szCs w:val="36"/>
              </w:rPr>
              <w:t>02</w:t>
            </w:r>
            <w:r>
              <w:rPr>
                <w:rFonts w:hint="eastAsia" w:ascii="楷体_GB2312" w:eastAsia="楷体_GB2312"/>
                <w:b/>
                <w:sz w:val="36"/>
                <w:szCs w:val="36"/>
              </w:rPr>
              <w:t>2</w:t>
            </w:r>
            <w:r>
              <w:rPr>
                <w:rFonts w:hint="eastAsia" w:ascii="楷体_GB2312" w:hAnsi="楷体_GB2312" w:eastAsia="楷体_GB2312" w:cs="楷体_GB2312"/>
                <w:b/>
                <w:sz w:val="36"/>
                <w:szCs w:val="36"/>
              </w:rPr>
              <w:t>年1</w:t>
            </w:r>
            <w:r>
              <w:rPr>
                <w:rFonts w:hint="eastAsia" w:ascii="楷体_GB2312" w:hAnsi="楷体_GB2312" w:eastAsia="楷体_GB2312" w:cs="楷体_GB2312"/>
                <w:b/>
                <w:sz w:val="36"/>
                <w:szCs w:val="36"/>
                <w:lang w:val="en-US" w:eastAsia="zh-CN"/>
              </w:rPr>
              <w:t>2</w:t>
            </w:r>
            <w:r>
              <w:rPr>
                <w:rFonts w:hint="eastAsia" w:ascii="楷体_GB2312" w:hAnsi="楷体_GB2312" w:eastAsia="楷体_GB2312" w:cs="楷体_GB2312"/>
                <w:b/>
                <w:sz w:val="36"/>
                <w:szCs w:val="36"/>
              </w:rPr>
              <w:t>月</w:t>
            </w:r>
            <w:r>
              <w:rPr>
                <w:rFonts w:hint="eastAsia" w:ascii="楷体_GB2312" w:hAnsi="楷体_GB2312" w:eastAsia="楷体_GB2312" w:cs="楷体_GB2312"/>
                <w:b/>
                <w:sz w:val="36"/>
                <w:szCs w:val="36"/>
                <w:lang w:val="en-US" w:eastAsia="zh-CN"/>
              </w:rPr>
              <w:t>6</w:t>
            </w:r>
            <w:r>
              <w:rPr>
                <w:rFonts w:hint="eastAsia" w:ascii="楷体_GB2312" w:hAnsi="楷体_GB2312" w:eastAsia="楷体_GB2312" w:cs="楷体_GB2312"/>
                <w:b/>
                <w:sz w:val="36"/>
                <w:szCs w:val="36"/>
              </w:rPr>
              <w:t>日</w:t>
            </w:r>
          </w:p>
        </w:tc>
      </w:tr>
    </w:tbl>
    <w:p>
      <w:pPr>
        <w:snapToGrid w:val="0"/>
        <w:jc w:val="center"/>
        <w:rPr>
          <w:rFonts w:ascii="楷体_GB2312" w:eastAsia="楷体_GB2312"/>
          <w:b/>
          <w:color w:val="000000"/>
          <w:sz w:val="32"/>
          <w:szCs w:val="32"/>
        </w:rPr>
      </w:pPr>
      <w:r>
        <w:rPr>
          <w:rFonts w:hint="eastAsia" w:ascii="楷体_GB2312" w:eastAsia="楷体_GB2312"/>
          <w:b/>
          <w:color w:val="000000"/>
          <w:sz w:val="32"/>
          <w:szCs w:val="32"/>
        </w:rPr>
        <w:t>（竞</w:t>
      </w:r>
      <w:r>
        <w:rPr>
          <w:rFonts w:hint="eastAsia" w:ascii="楷体_GB2312" w:eastAsia="楷体_GB2312"/>
          <w:b/>
          <w:color w:val="000000"/>
          <w:sz w:val="32"/>
          <w:szCs w:val="32"/>
          <w:lang w:eastAsia="zh-CN"/>
        </w:rPr>
        <w:t>标</w:t>
      </w:r>
      <w:r>
        <w:rPr>
          <w:rFonts w:ascii="楷体_GB2312" w:eastAsia="楷体_GB2312"/>
          <w:b/>
          <w:color w:val="000000"/>
          <w:sz w:val="32"/>
          <w:szCs w:val="32"/>
        </w:rPr>
        <w:t>）</w:t>
      </w:r>
    </w:p>
    <w:p>
      <w:pPr>
        <w:snapToGrid w:val="0"/>
        <w:jc w:val="center"/>
        <w:rPr>
          <w:bCs/>
          <w:color w:val="000000" w:themeColor="text1"/>
          <w:sz w:val="32"/>
          <w:szCs w:val="32"/>
          <w14:textFill>
            <w14:solidFill>
              <w14:schemeClr w14:val="tx1"/>
            </w14:solidFill>
          </w14:textFill>
        </w:rPr>
      </w:pPr>
    </w:p>
    <w:p>
      <w:pPr>
        <w:snapToGrid w:val="0"/>
        <w:jc w:val="center"/>
        <w:rPr>
          <w:bCs/>
          <w:color w:val="000000" w:themeColor="text1"/>
          <w:sz w:val="28"/>
          <w:szCs w:val="28"/>
          <w14:textFill>
            <w14:solidFill>
              <w14:schemeClr w14:val="tx1"/>
            </w14:solidFill>
          </w14:textFill>
        </w:rPr>
      </w:pPr>
    </w:p>
    <w:p>
      <w:pPr>
        <w:widowControl/>
        <w:spacing w:line="240" w:lineRule="auto"/>
        <w:jc w:val="left"/>
        <w:rPr>
          <w:b/>
          <w:color w:val="000000" w:themeColor="text1"/>
          <w:sz w:val="32"/>
          <w:szCs w:val="32"/>
          <w:u w:val="single"/>
          <w14:textFill>
            <w14:solidFill>
              <w14:schemeClr w14:val="tx1"/>
            </w14:solidFill>
          </w14:textFill>
        </w:rPr>
      </w:pPr>
    </w:p>
    <w:p>
      <w:pPr>
        <w:widowControl/>
        <w:spacing w:line="240" w:lineRule="auto"/>
        <w:jc w:val="left"/>
        <w:rPr>
          <w:b/>
          <w:color w:val="000000" w:themeColor="text1"/>
          <w:sz w:val="32"/>
          <w:szCs w:val="32"/>
          <w:u w:val="single"/>
          <w14:textFill>
            <w14:solidFill>
              <w14:schemeClr w14:val="tx1"/>
            </w14:solidFill>
          </w14:textFill>
        </w:rPr>
        <w:sectPr>
          <w:headerReference r:id="rId5" w:type="default"/>
          <w:footerReference r:id="rId7" w:type="default"/>
          <w:headerReference r:id="rId6" w:type="even"/>
          <w:pgSz w:w="11906" w:h="16838"/>
          <w:pgMar w:top="1702" w:right="1274" w:bottom="993" w:left="1418" w:header="851" w:footer="992" w:gutter="0"/>
          <w:cols w:space="425" w:num="1"/>
          <w:docGrid w:type="lines" w:linePitch="312" w:charSpace="0"/>
        </w:sectPr>
      </w:pPr>
    </w:p>
    <w:p>
      <w:pPr>
        <w:adjustRightInd w:val="0"/>
        <w:snapToGrid w:val="0"/>
        <w:spacing w:line="420" w:lineRule="exact"/>
        <w:ind w:firstLine="284"/>
        <w:jc w:val="center"/>
        <w:rPr>
          <w:rFonts w:ascii="黑体" w:hAnsi="黑体" w:eastAsia="黑体"/>
          <w:b/>
          <w:spacing w:val="-20"/>
          <w:sz w:val="32"/>
          <w:szCs w:val="32"/>
        </w:rPr>
      </w:pPr>
      <w:r>
        <w:rPr>
          <w:rFonts w:hint="eastAsia" w:ascii="黑体" w:hAnsi="黑体" w:eastAsia="黑体"/>
          <w:b/>
          <w:spacing w:val="-20"/>
          <w:sz w:val="32"/>
          <w:szCs w:val="32"/>
        </w:rPr>
        <w:t>中国石化上海高桥石油化工有限公司</w:t>
      </w:r>
    </w:p>
    <w:p>
      <w:pPr>
        <w:adjustRightInd w:val="0"/>
        <w:snapToGrid w:val="0"/>
        <w:spacing w:line="420" w:lineRule="exact"/>
        <w:ind w:firstLine="284"/>
        <w:jc w:val="center"/>
        <w:rPr>
          <w:rFonts w:ascii="黑体" w:hAnsi="黑体" w:eastAsia="黑体"/>
          <w:b/>
          <w:spacing w:val="-20"/>
          <w:sz w:val="32"/>
          <w:szCs w:val="32"/>
        </w:rPr>
      </w:pPr>
      <w:r>
        <w:rPr>
          <w:rFonts w:hint="eastAsia" w:ascii="黑体" w:hAnsi="黑体" w:eastAsia="黑体"/>
          <w:b/>
          <w:spacing w:val="-20"/>
          <w:sz w:val="32"/>
          <w:szCs w:val="32"/>
        </w:rPr>
        <w:t>202</w:t>
      </w:r>
      <w:r>
        <w:rPr>
          <w:rFonts w:hint="eastAsia" w:ascii="黑体" w:hAnsi="黑体" w:eastAsia="黑体"/>
          <w:b/>
          <w:spacing w:val="-20"/>
          <w:sz w:val="32"/>
          <w:szCs w:val="32"/>
          <w:lang w:val="en-US" w:eastAsia="zh-CN"/>
        </w:rPr>
        <w:t>3</w:t>
      </w:r>
      <w:r>
        <w:rPr>
          <w:rFonts w:hint="eastAsia" w:ascii="黑体" w:hAnsi="黑体" w:eastAsia="黑体"/>
          <w:b/>
          <w:spacing w:val="-20"/>
          <w:sz w:val="32"/>
          <w:szCs w:val="32"/>
        </w:rPr>
        <w:t>年</w:t>
      </w:r>
      <w:r>
        <w:rPr>
          <w:rFonts w:hint="eastAsia" w:ascii="黑体" w:hAnsi="黑体" w:eastAsia="黑体"/>
          <w:b/>
          <w:spacing w:val="-20"/>
          <w:sz w:val="32"/>
          <w:szCs w:val="32"/>
          <w:lang w:eastAsia="zh-CN"/>
        </w:rPr>
        <w:t>动</w:t>
      </w:r>
      <w:r>
        <w:rPr>
          <w:rFonts w:hint="eastAsia" w:ascii="黑体" w:hAnsi="黑体" w:eastAsia="黑体"/>
          <w:b/>
          <w:spacing w:val="-20"/>
          <w:sz w:val="32"/>
          <w:szCs w:val="32"/>
        </w:rPr>
        <w:t>设备更新</w:t>
      </w:r>
      <w:r>
        <w:rPr>
          <w:rFonts w:ascii="黑体" w:hAnsi="黑体" w:eastAsia="黑体"/>
          <w:b/>
          <w:spacing w:val="-20"/>
          <w:sz w:val="32"/>
          <w:szCs w:val="32"/>
        </w:rPr>
        <w:t>项目</w:t>
      </w:r>
      <w:r>
        <w:rPr>
          <w:rFonts w:hint="eastAsia" w:ascii="黑体" w:hAnsi="黑体" w:eastAsia="黑体"/>
          <w:b/>
          <w:spacing w:val="-20"/>
          <w:sz w:val="32"/>
          <w:szCs w:val="32"/>
          <w:lang w:eastAsia="zh-CN"/>
        </w:rPr>
        <w:t>施工</w:t>
      </w:r>
      <w:r>
        <w:rPr>
          <w:rFonts w:hint="eastAsia" w:ascii="黑体" w:hAnsi="黑体" w:eastAsia="黑体"/>
          <w:b/>
          <w:spacing w:val="-20"/>
          <w:sz w:val="32"/>
          <w:szCs w:val="32"/>
        </w:rPr>
        <w:t>竞争</w:t>
      </w:r>
      <w:r>
        <w:rPr>
          <w:rFonts w:ascii="黑体" w:hAnsi="黑体" w:eastAsia="黑体"/>
          <w:b/>
          <w:spacing w:val="-20"/>
          <w:sz w:val="32"/>
          <w:szCs w:val="32"/>
        </w:rPr>
        <w:t>性选商公告</w:t>
      </w:r>
      <w:bookmarkStart w:id="0" w:name="_Toc37234561"/>
    </w:p>
    <w:p>
      <w:pPr>
        <w:adjustRightInd w:val="0"/>
        <w:snapToGrid w:val="0"/>
        <w:spacing w:line="420" w:lineRule="exact"/>
        <w:rPr>
          <w:rFonts w:ascii="仿宋_GB2312" w:eastAsia="仿宋_GB2312" w:hAnsiTheme="minorEastAsia"/>
          <w:b/>
          <w:bCs/>
          <w:color w:val="000000" w:themeColor="text1"/>
          <w:kern w:val="0"/>
          <w:sz w:val="28"/>
          <w:szCs w:val="28"/>
          <w14:textFill>
            <w14:solidFill>
              <w14:schemeClr w14:val="tx1"/>
            </w14:solidFill>
          </w14:textFill>
        </w:rPr>
      </w:pPr>
    </w:p>
    <w:p>
      <w:pPr>
        <w:adjustRightInd w:val="0"/>
        <w:snapToGrid w:val="0"/>
        <w:spacing w:line="420" w:lineRule="exact"/>
        <w:ind w:firstLine="562" w:firstLineChars="200"/>
        <w:rPr>
          <w:rFonts w:ascii="楷体_GB2312" w:eastAsia="楷体_GB2312" w:hAnsiTheme="minorEastAsia"/>
          <w:b/>
          <w:bCs/>
          <w:color w:val="000000" w:themeColor="text1"/>
          <w:kern w:val="0"/>
          <w:sz w:val="28"/>
          <w:szCs w:val="28"/>
          <w14:textFill>
            <w14:solidFill>
              <w14:schemeClr w14:val="tx1"/>
            </w14:solidFill>
          </w14:textFill>
        </w:rPr>
      </w:pPr>
      <w:r>
        <w:rPr>
          <w:rFonts w:hint="eastAsia" w:ascii="楷体_GB2312" w:eastAsia="楷体_GB2312" w:hAnsiTheme="minorEastAsia"/>
          <w:b/>
          <w:bCs/>
          <w:color w:val="000000" w:themeColor="text1"/>
          <w:kern w:val="0"/>
          <w:sz w:val="28"/>
          <w:szCs w:val="28"/>
          <w14:textFill>
            <w14:solidFill>
              <w14:schemeClr w14:val="tx1"/>
            </w14:solidFill>
          </w14:textFill>
        </w:rPr>
        <w:t>一、本业务（项目）的竞争性选商具体采用以下方式：</w:t>
      </w:r>
    </w:p>
    <w:p>
      <w:pPr>
        <w:adjustRightInd w:val="0"/>
        <w:snapToGrid w:val="0"/>
        <w:spacing w:line="42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竞</w:t>
      </w:r>
      <w:r>
        <w:rPr>
          <w:rFonts w:hint="eastAsia" w:eastAsiaTheme="minorEastAsia"/>
          <w:color w:val="000000" w:themeColor="text1"/>
          <w:lang w:eastAsia="zh-CN"/>
          <w14:textFill>
            <w14:solidFill>
              <w14:schemeClr w14:val="tx1"/>
            </w14:solidFill>
          </w14:textFill>
        </w:rPr>
        <w:t>标</w:t>
      </w:r>
      <w:r>
        <w:rPr>
          <w:rFonts w:eastAsiaTheme="minorEastAsia"/>
          <w:color w:val="000000" w:themeColor="text1"/>
          <w14:textFill>
            <w14:solidFill>
              <w14:schemeClr w14:val="tx1"/>
            </w14:solidFill>
          </w14:textFill>
        </w:rPr>
        <w:t>（</w:t>
      </w:r>
      <w:r>
        <w:rPr>
          <w:rFonts w:eastAsia="仿宋_GB2312"/>
          <w:color w:val="000000" w:themeColor="text1"/>
          <w:sz w:val="28"/>
          <w:szCs w:val="28"/>
          <w14:textFill>
            <w14:solidFill>
              <w14:schemeClr w14:val="tx1"/>
            </w14:solidFill>
          </w14:textFill>
        </w:rPr>
        <w:t>综合评审法，1轮</w:t>
      </w:r>
      <w:r>
        <w:rPr>
          <w:rFonts w:eastAsiaTheme="minorEastAsia"/>
          <w:color w:val="000000" w:themeColor="text1"/>
          <w14:textFill>
            <w14:solidFill>
              <w14:schemeClr w14:val="tx1"/>
            </w14:solidFill>
          </w14:textFill>
        </w:rPr>
        <w:t>）</w:t>
      </w:r>
    </w:p>
    <w:p>
      <w:pPr>
        <w:adjustRightInd w:val="0"/>
        <w:snapToGrid w:val="0"/>
        <w:spacing w:line="420" w:lineRule="exact"/>
        <w:ind w:firstLine="562" w:firstLineChars="200"/>
        <w:rPr>
          <w:rFonts w:ascii="楷体_GB2312" w:eastAsia="楷体_GB2312" w:hAnsiTheme="minorEastAsia"/>
          <w:b/>
          <w:bCs/>
          <w:color w:val="000000" w:themeColor="text1"/>
          <w:kern w:val="0"/>
          <w:sz w:val="28"/>
          <w:szCs w:val="28"/>
          <w14:textFill>
            <w14:solidFill>
              <w14:schemeClr w14:val="tx1"/>
            </w14:solidFill>
          </w14:textFill>
        </w:rPr>
      </w:pPr>
      <w:r>
        <w:rPr>
          <w:rFonts w:hint="eastAsia" w:ascii="楷体_GB2312" w:eastAsia="楷体_GB2312" w:hAnsiTheme="minorEastAsia"/>
          <w:b/>
          <w:bCs/>
          <w:color w:val="000000" w:themeColor="text1"/>
          <w:kern w:val="0"/>
          <w:sz w:val="28"/>
          <w:szCs w:val="28"/>
          <w14:textFill>
            <w14:solidFill>
              <w14:schemeClr w14:val="tx1"/>
            </w14:solidFill>
          </w14:textFill>
        </w:rPr>
        <w:t>二、竞争</w:t>
      </w:r>
      <w:r>
        <w:rPr>
          <w:rFonts w:ascii="楷体_GB2312" w:eastAsia="楷体_GB2312" w:hAnsiTheme="minorEastAsia"/>
          <w:b/>
          <w:bCs/>
          <w:color w:val="000000" w:themeColor="text1"/>
          <w:kern w:val="0"/>
          <w:sz w:val="28"/>
          <w:szCs w:val="28"/>
          <w14:textFill>
            <w14:solidFill>
              <w14:schemeClr w14:val="tx1"/>
            </w14:solidFill>
          </w14:textFill>
        </w:rPr>
        <w:t>性选商</w:t>
      </w:r>
      <w:r>
        <w:rPr>
          <w:rFonts w:hint="eastAsia" w:ascii="楷体_GB2312" w:eastAsia="楷体_GB2312" w:hAnsiTheme="minorEastAsia"/>
          <w:b/>
          <w:bCs/>
          <w:color w:val="000000" w:themeColor="text1"/>
          <w:kern w:val="0"/>
          <w:sz w:val="28"/>
          <w:szCs w:val="28"/>
          <w14:textFill>
            <w14:solidFill>
              <w14:schemeClr w14:val="tx1"/>
            </w14:solidFill>
          </w14:textFill>
        </w:rPr>
        <w:t>条件</w:t>
      </w:r>
      <w:bookmarkEnd w:id="0"/>
    </w:p>
    <w:p>
      <w:pPr>
        <w:adjustRightInd w:val="0"/>
        <w:snapToGrid w:val="0"/>
        <w:spacing w:line="42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中国石化上海高桥石油化工有限公司（以下简称上海高桥石化有限公司）的</w:t>
      </w:r>
      <w:r>
        <w:rPr>
          <w:rFonts w:hint="eastAsia" w:eastAsiaTheme="minorEastAsia"/>
          <w:color w:val="000000" w:themeColor="text1"/>
          <w14:textFill>
            <w14:solidFill>
              <w14:schemeClr w14:val="tx1"/>
            </w14:solidFill>
          </w14:textFill>
        </w:rPr>
        <w:t>202</w:t>
      </w:r>
      <w:r>
        <w:rPr>
          <w:rFonts w:hint="eastAsia" w:eastAsiaTheme="minorEastAsia"/>
          <w:color w:val="000000" w:themeColor="text1"/>
          <w:lang w:val="en-US" w:eastAsia="zh-CN"/>
          <w14:textFill>
            <w14:solidFill>
              <w14:schemeClr w14:val="tx1"/>
            </w14:solidFill>
          </w14:textFill>
        </w:rPr>
        <w:t>3</w:t>
      </w:r>
      <w:r>
        <w:rPr>
          <w:rFonts w:hint="eastAsia" w:eastAsiaTheme="minorEastAsia"/>
          <w:color w:val="000000" w:themeColor="text1"/>
          <w14:textFill>
            <w14:solidFill>
              <w14:schemeClr w14:val="tx1"/>
            </w14:solidFill>
          </w14:textFill>
        </w:rPr>
        <w:t>年</w:t>
      </w:r>
      <w:r>
        <w:rPr>
          <w:rFonts w:hint="eastAsia" w:eastAsiaTheme="minorEastAsia"/>
          <w:color w:val="000000" w:themeColor="text1"/>
          <w:lang w:eastAsia="zh-CN"/>
          <w14:textFill>
            <w14:solidFill>
              <w14:schemeClr w14:val="tx1"/>
            </w14:solidFill>
          </w14:textFill>
        </w:rPr>
        <w:t>动</w:t>
      </w:r>
      <w:r>
        <w:rPr>
          <w:rFonts w:hint="eastAsia" w:eastAsiaTheme="minorEastAsia"/>
          <w:color w:val="000000" w:themeColor="text1"/>
          <w14:textFill>
            <w14:solidFill>
              <w14:schemeClr w14:val="tx1"/>
            </w14:solidFill>
          </w14:textFill>
        </w:rPr>
        <w:t>设备更新</w:t>
      </w:r>
      <w:r>
        <w:rPr>
          <w:rFonts w:eastAsiaTheme="minorEastAsia"/>
          <w:color w:val="000000" w:themeColor="text1"/>
          <w14:textFill>
            <w14:solidFill>
              <w14:schemeClr w14:val="tx1"/>
            </w14:solidFill>
          </w14:textFill>
        </w:rPr>
        <w:t>项目</w:t>
      </w:r>
      <w:r>
        <w:rPr>
          <w:rFonts w:hint="eastAsia" w:eastAsiaTheme="minorEastAsia"/>
          <w:color w:val="000000" w:themeColor="text1"/>
          <w:lang w:eastAsia="zh-CN"/>
          <w14:textFill>
            <w14:solidFill>
              <w14:schemeClr w14:val="tx1"/>
            </w14:solidFill>
          </w14:textFill>
        </w:rPr>
        <w:t>施工合同</w:t>
      </w:r>
      <w:r>
        <w:rPr>
          <w:rFonts w:eastAsiaTheme="minorEastAsia"/>
          <w:color w:val="000000" w:themeColor="text1"/>
          <w14:textFill>
            <w14:solidFill>
              <w14:schemeClr w14:val="tx1"/>
            </w14:solidFill>
          </w14:textFill>
        </w:rPr>
        <w:t>已于2022年</w:t>
      </w:r>
      <w:r>
        <w:rPr>
          <w:rFonts w:hint="eastAsia" w:eastAsiaTheme="minorEastAsia"/>
          <w:color w:val="000000" w:themeColor="text1"/>
          <w14:textFill>
            <w14:solidFill>
              <w14:schemeClr w14:val="tx1"/>
            </w14:solidFill>
          </w14:textFill>
        </w:rPr>
        <w:t xml:space="preserve"> </w:t>
      </w:r>
      <w:r>
        <w:rPr>
          <w:rFonts w:eastAsiaTheme="minorEastAsia"/>
          <w:color w:val="000000" w:themeColor="text1"/>
          <w14:textFill>
            <w14:solidFill>
              <w14:schemeClr w14:val="tx1"/>
            </w14:solidFill>
          </w14:textFill>
        </w:rPr>
        <w:t>月</w:t>
      </w:r>
      <w:r>
        <w:rPr>
          <w:rFonts w:hint="eastAsia" w:eastAsiaTheme="minorEastAsia"/>
          <w:color w:val="000000" w:themeColor="text1"/>
          <w14:textFill>
            <w14:solidFill>
              <w14:schemeClr w14:val="tx1"/>
            </w14:solidFill>
          </w14:textFill>
        </w:rPr>
        <w:t xml:space="preserve"> </w:t>
      </w:r>
      <w:r>
        <w:rPr>
          <w:rFonts w:eastAsiaTheme="minorEastAsia"/>
          <w:color w:val="000000" w:themeColor="text1"/>
          <w14:textFill>
            <w14:solidFill>
              <w14:schemeClr w14:val="tx1"/>
            </w14:solidFill>
          </w14:textFill>
        </w:rPr>
        <w:t>日</w:t>
      </w:r>
      <w:r>
        <w:rPr>
          <w:rFonts w:eastAsiaTheme="minorEastAsia"/>
          <w:b/>
        </w:rPr>
        <w:t>邀请贵公司参加</w:t>
      </w:r>
      <w:r>
        <w:rPr>
          <w:rFonts w:eastAsiaTheme="minorEastAsia"/>
          <w:b/>
          <w:bCs/>
          <w:kern w:val="0"/>
        </w:rPr>
        <w:t>竞争性选商</w:t>
      </w:r>
      <w:r>
        <w:rPr>
          <w:rFonts w:eastAsiaTheme="minorEastAsia"/>
          <w:b/>
        </w:rPr>
        <w:t>并得到了报名响应</w:t>
      </w:r>
      <w:r>
        <w:rPr>
          <w:rFonts w:eastAsiaTheme="minorEastAsia"/>
        </w:rPr>
        <w:t>，</w:t>
      </w:r>
      <w:r>
        <w:rPr>
          <w:rFonts w:eastAsiaTheme="minorEastAsia"/>
          <w:color w:val="000000" w:themeColor="text1"/>
          <w14:textFill>
            <w14:solidFill>
              <w14:schemeClr w14:val="tx1"/>
            </w14:solidFill>
          </w14:textFill>
        </w:rPr>
        <w:t>现特邀请贵司参与本业务（项目）的</w:t>
      </w:r>
      <w:r>
        <w:rPr>
          <w:rFonts w:eastAsiaTheme="minorEastAsia"/>
          <w:b/>
          <w:bCs/>
          <w:color w:val="000000" w:themeColor="text1"/>
          <w:kern w:val="0"/>
          <w14:textFill>
            <w14:solidFill>
              <w14:schemeClr w14:val="tx1"/>
            </w14:solidFill>
          </w14:textFill>
        </w:rPr>
        <w:t>竞争性选商</w:t>
      </w:r>
      <w:r>
        <w:rPr>
          <w:rFonts w:eastAsiaTheme="minorEastAsia"/>
          <w:color w:val="000000" w:themeColor="text1"/>
          <w14:textFill>
            <w14:solidFill>
              <w14:schemeClr w14:val="tx1"/>
            </w14:solidFill>
          </w14:textFill>
        </w:rPr>
        <w:t>响应。</w:t>
      </w:r>
    </w:p>
    <w:p>
      <w:pPr>
        <w:adjustRightInd w:val="0"/>
        <w:snapToGrid w:val="0"/>
        <w:spacing w:line="420" w:lineRule="exact"/>
        <w:ind w:firstLine="562" w:firstLineChars="200"/>
        <w:rPr>
          <w:rFonts w:ascii="楷体_GB2312" w:eastAsia="楷体_GB2312" w:hAnsiTheme="minorEastAsia"/>
          <w:b/>
          <w:bCs/>
          <w:color w:val="000000" w:themeColor="text1"/>
          <w:kern w:val="0"/>
          <w:sz w:val="28"/>
          <w:szCs w:val="28"/>
          <w14:textFill>
            <w14:solidFill>
              <w14:schemeClr w14:val="tx1"/>
            </w14:solidFill>
          </w14:textFill>
        </w:rPr>
      </w:pPr>
      <w:bookmarkStart w:id="1" w:name="_Toc37234562"/>
      <w:r>
        <w:rPr>
          <w:rFonts w:hint="eastAsia" w:ascii="楷体_GB2312" w:eastAsia="楷体_GB2312" w:hAnsiTheme="minorEastAsia"/>
          <w:b/>
          <w:bCs/>
          <w:color w:val="000000" w:themeColor="text1"/>
          <w:kern w:val="0"/>
          <w:sz w:val="28"/>
          <w:szCs w:val="28"/>
          <w14:textFill>
            <w14:solidFill>
              <w14:schemeClr w14:val="tx1"/>
            </w14:solidFill>
          </w14:textFill>
        </w:rPr>
        <w:t>三、业务（项目）概况</w:t>
      </w:r>
      <w:bookmarkEnd w:id="1"/>
    </w:p>
    <w:p>
      <w:pPr>
        <w:adjustRightInd w:val="0"/>
        <w:snapToGrid w:val="0"/>
        <w:spacing w:line="420" w:lineRule="exact"/>
        <w:ind w:firstLine="482" w:firstLineChars="200"/>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名称：</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动设备</w:t>
      </w:r>
      <w:r>
        <w:rPr>
          <w:rFonts w:hint="eastAsia"/>
          <w:color w:val="000000" w:themeColor="text1"/>
          <w14:textFill>
            <w14:solidFill>
              <w14:schemeClr w14:val="tx1"/>
            </w14:solidFill>
          </w14:textFill>
        </w:rPr>
        <w:t>更新项目</w:t>
      </w:r>
      <w:r>
        <w:rPr>
          <w:rFonts w:hint="eastAsia"/>
          <w:color w:val="000000" w:themeColor="text1"/>
          <w:lang w:eastAsia="zh-CN"/>
          <w14:textFill>
            <w14:solidFill>
              <w14:schemeClr w14:val="tx1"/>
            </w14:solidFill>
          </w14:textFill>
        </w:rPr>
        <w:t>施工合同</w:t>
      </w:r>
    </w:p>
    <w:p>
      <w:pPr>
        <w:adjustRightInd w:val="0"/>
        <w:snapToGrid w:val="0"/>
        <w:spacing w:line="420" w:lineRule="exact"/>
        <w:ind w:firstLine="482" w:firstLineChars="200"/>
        <w:rPr>
          <w:b/>
          <w:color w:val="000000" w:themeColor="text1"/>
          <w:u w:val="single"/>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范围：</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动设备</w:t>
      </w:r>
      <w:r>
        <w:rPr>
          <w:rFonts w:hint="eastAsia"/>
          <w:color w:val="000000" w:themeColor="text1"/>
          <w14:textFill>
            <w14:solidFill>
              <w14:schemeClr w14:val="tx1"/>
            </w14:solidFill>
          </w14:textFill>
        </w:rPr>
        <w:t>更新项目</w:t>
      </w:r>
      <w:r>
        <w:rPr>
          <w:rFonts w:hint="eastAsia"/>
          <w:color w:val="000000" w:themeColor="text1"/>
          <w:lang w:eastAsia="zh-CN"/>
          <w14:textFill>
            <w14:solidFill>
              <w14:schemeClr w14:val="tx1"/>
            </w14:solidFill>
          </w14:textFill>
        </w:rPr>
        <w:t>施工</w:t>
      </w:r>
      <w:r>
        <w:rPr>
          <w:rFonts w:hint="eastAsia"/>
          <w:color w:val="000000" w:themeColor="text1"/>
          <w14:textFill>
            <w14:solidFill>
              <w14:schemeClr w14:val="tx1"/>
            </w14:solidFill>
          </w14:textFill>
        </w:rPr>
        <w:t>，包括</w:t>
      </w:r>
      <w:r>
        <w:rPr>
          <w:rFonts w:hint="eastAsia"/>
          <w:color w:val="000000" w:themeColor="text1"/>
          <w:lang w:eastAsia="zh-CN"/>
          <w14:textFill>
            <w14:solidFill>
              <w14:schemeClr w14:val="tx1"/>
            </w14:solidFill>
          </w14:textFill>
        </w:rPr>
        <w:t>动设备</w:t>
      </w:r>
      <w:r>
        <w:rPr>
          <w:rFonts w:hint="eastAsia"/>
          <w:color w:val="000000" w:themeColor="text1"/>
          <w14:textFill>
            <w14:solidFill>
              <w14:schemeClr w14:val="tx1"/>
            </w14:solidFill>
          </w14:textFill>
        </w:rPr>
        <w:t>项目的安装施工以及土建、脚手架等相关配合项目的施工。</w:t>
      </w:r>
    </w:p>
    <w:p>
      <w:pPr>
        <w:adjustRightInd w:val="0"/>
        <w:snapToGrid w:val="0"/>
        <w:spacing w:line="420" w:lineRule="exact"/>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）主要内容（</w:t>
      </w:r>
      <w:r>
        <w:rPr>
          <w:b/>
          <w:color w:val="000000" w:themeColor="text1"/>
          <w14:textFill>
            <w14:solidFill>
              <w14:schemeClr w14:val="tx1"/>
            </w14:solidFill>
          </w14:textFill>
        </w:rPr>
        <w:t>包括业务量）</w:t>
      </w:r>
      <w:r>
        <w:rPr>
          <w:rFonts w:hint="eastAsia"/>
          <w:b/>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2023年列入月度检修计划书的设备更新项目</w:t>
      </w:r>
    </w:p>
    <w:p>
      <w:pPr>
        <w:adjustRightInd w:val="0"/>
        <w:snapToGrid w:val="0"/>
        <w:spacing w:line="420" w:lineRule="exact"/>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计划履行日期：</w:t>
      </w:r>
      <w:r>
        <w:rPr>
          <w:rFonts w:hint="eastAsia"/>
          <w:color w:val="000000" w:themeColor="text1"/>
          <w14:textFill>
            <w14:solidFill>
              <w14:schemeClr w14:val="tx1"/>
            </w14:solidFill>
          </w14:textFill>
        </w:rPr>
        <w:t>合同生效之日起至2023年12月31日。</w:t>
      </w:r>
    </w:p>
    <w:p>
      <w:pPr>
        <w:adjustRightInd w:val="0"/>
        <w:snapToGrid w:val="0"/>
        <w:spacing w:line="420" w:lineRule="exact"/>
        <w:ind w:firstLine="482" w:firstLineChars="200"/>
        <w:rPr>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地点：</w:t>
      </w:r>
      <w:r>
        <w:rPr>
          <w:rFonts w:hint="eastAsia"/>
          <w:color w:val="000000" w:themeColor="text1"/>
          <w:u w:val="single"/>
          <w14:textFill>
            <w14:solidFill>
              <w14:schemeClr w14:val="tx1"/>
            </w14:solidFill>
          </w14:textFill>
        </w:rPr>
        <w:t>上海</w:t>
      </w:r>
      <w:r>
        <w:rPr>
          <w:color w:val="000000" w:themeColor="text1"/>
          <w:u w:val="single"/>
          <w14:textFill>
            <w14:solidFill>
              <w14:schemeClr w14:val="tx1"/>
            </w14:solidFill>
          </w14:textFill>
        </w:rPr>
        <w:t>市</w:t>
      </w:r>
      <w:r>
        <w:rPr>
          <w:rFonts w:hint="eastAsia"/>
          <w:color w:val="000000" w:themeColor="text1"/>
          <w:u w:val="single"/>
          <w14:textFill>
            <w14:solidFill>
              <w14:schemeClr w14:val="tx1"/>
            </w14:solidFill>
          </w14:textFill>
        </w:rPr>
        <w:t>浦东新区江心沙路1号，上海高桥石油化工有限公司</w:t>
      </w:r>
      <w:r>
        <w:rPr>
          <w:rFonts w:hint="eastAsia"/>
          <w:color w:val="000000" w:themeColor="text1"/>
          <w14:textFill>
            <w14:solidFill>
              <w14:schemeClr w14:val="tx1"/>
            </w14:solidFill>
          </w14:textFill>
        </w:rPr>
        <w:t>。</w:t>
      </w:r>
    </w:p>
    <w:p>
      <w:pPr>
        <w:adjustRightInd w:val="0"/>
        <w:snapToGrid w:val="0"/>
        <w:spacing w:line="420" w:lineRule="exact"/>
        <w:ind w:firstLine="482" w:firstLineChars="200"/>
        <w:rPr>
          <w:color w:val="000000" w:themeColor="text1"/>
          <w14:textFill>
            <w14:solidFill>
              <w14:schemeClr w14:val="tx1"/>
            </w14:solidFill>
          </w14:textFill>
        </w:rPr>
      </w:pPr>
      <w:bookmarkStart w:id="2" w:name="EBfe50405314f54c3ea1093111c4b43e85"/>
      <w:r>
        <w:rPr>
          <w:b/>
          <w:color w:val="000000" w:themeColor="text1"/>
          <w14:textFill>
            <w14:solidFill>
              <w14:schemeClr w14:val="tx1"/>
            </w14:solidFill>
          </w14:textFill>
        </w:rPr>
        <w:t>6.</w:t>
      </w:r>
      <w:r>
        <w:rPr>
          <w:rFonts w:hint="eastAsia"/>
          <w:b/>
          <w:color w:val="000000" w:themeColor="text1"/>
          <w14:textFill>
            <w14:solidFill>
              <w14:schemeClr w14:val="tx1"/>
            </w14:solidFill>
          </w14:textFill>
        </w:rPr>
        <w:t xml:space="preserve"> 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）拟</w:t>
      </w:r>
      <w:r>
        <w:rPr>
          <w:b/>
          <w:color w:val="000000" w:themeColor="text1"/>
          <w14:textFill>
            <w14:solidFill>
              <w14:schemeClr w14:val="tx1"/>
            </w14:solidFill>
          </w14:textFill>
        </w:rPr>
        <w:t>选成交人数量</w:t>
      </w:r>
      <w:r>
        <w:rPr>
          <w:rFonts w:hint="eastAsia"/>
          <w:b/>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w:t>
      </w:r>
    </w:p>
    <w:p>
      <w:pPr>
        <w:adjustRightInd w:val="0"/>
        <w:snapToGrid w:val="0"/>
        <w:spacing w:line="420" w:lineRule="exact"/>
        <w:ind w:firstLine="482" w:firstLineChars="200"/>
        <w:rPr>
          <w:b/>
          <w:strike/>
          <w:color w:val="000000" w:themeColor="text1"/>
          <w:u w:val="single"/>
          <w14:textFill>
            <w14:solidFill>
              <w14:schemeClr w14:val="tx1"/>
            </w14:solidFill>
          </w14:textFill>
        </w:rPr>
      </w:pPr>
      <w:r>
        <w:rPr>
          <w:b/>
          <w:bCs/>
          <w:color w:val="000000" w:themeColor="text1"/>
          <w:kern w:val="0"/>
          <w:szCs w:val="32"/>
          <w14:textFill>
            <w14:solidFill>
              <w14:schemeClr w14:val="tx1"/>
            </w14:solidFill>
          </w14:textFill>
        </w:rPr>
        <w:t>7. 本</w:t>
      </w:r>
      <w:r>
        <w:rPr>
          <w:rFonts w:hint="eastAsia"/>
          <w:b/>
          <w:bCs/>
          <w:color w:val="000000" w:themeColor="text1"/>
          <w:kern w:val="0"/>
          <w:szCs w:val="32"/>
          <w14:textFill>
            <w14:solidFill>
              <w14:schemeClr w14:val="tx1"/>
            </w14:solidFill>
          </w14:textFill>
        </w:rPr>
        <w:t>业务（</w:t>
      </w:r>
      <w:r>
        <w:rPr>
          <w:b/>
          <w:bCs/>
          <w:color w:val="000000" w:themeColor="text1"/>
          <w:kern w:val="0"/>
          <w:szCs w:val="32"/>
          <w14:textFill>
            <w14:solidFill>
              <w14:schemeClr w14:val="tx1"/>
            </w14:solidFill>
          </w14:textFill>
        </w:rPr>
        <w:t>项目）合同</w:t>
      </w:r>
      <w:r>
        <w:rPr>
          <w:rFonts w:hint="eastAsia"/>
          <w:b/>
          <w:bCs/>
          <w:color w:val="000000" w:themeColor="text1"/>
          <w:kern w:val="0"/>
          <w:szCs w:val="32"/>
          <w14:textFill>
            <w14:solidFill>
              <w14:schemeClr w14:val="tx1"/>
            </w14:solidFill>
          </w14:textFill>
        </w:rPr>
        <w:t>总</w:t>
      </w:r>
      <w:r>
        <w:rPr>
          <w:b/>
          <w:bCs/>
          <w:color w:val="000000" w:themeColor="text1"/>
          <w:kern w:val="0"/>
          <w:szCs w:val="32"/>
          <w14:textFill>
            <w14:solidFill>
              <w14:schemeClr w14:val="tx1"/>
            </w14:solidFill>
          </w14:textFill>
        </w:rPr>
        <w:t>金额暂估</w:t>
      </w:r>
      <w:r>
        <w:rPr>
          <w:rFonts w:hint="eastAsia"/>
          <w:b/>
          <w:bCs/>
          <w:color w:val="000000" w:themeColor="text1"/>
          <w:kern w:val="0"/>
          <w:szCs w:val="32"/>
          <w14:textFill>
            <w14:solidFill>
              <w14:schemeClr w14:val="tx1"/>
            </w14:solidFill>
          </w14:textFill>
        </w:rPr>
        <w:t>：</w:t>
      </w:r>
      <w:r>
        <w:rPr>
          <w:rFonts w:hint="eastAsia"/>
          <w:b/>
          <w:bCs/>
          <w:color w:val="000000" w:themeColor="text1"/>
          <w:kern w:val="0"/>
          <w:szCs w:val="32"/>
          <w:lang w:val="en-US" w:eastAsia="zh-CN"/>
          <w14:textFill>
            <w14:solidFill>
              <w14:schemeClr w14:val="tx1"/>
            </w14:solidFill>
          </w14:textFill>
        </w:rPr>
        <w:t>390</w:t>
      </w:r>
      <w:r>
        <w:rPr>
          <w:rFonts w:hint="eastAsia"/>
          <w:bCs/>
          <w:color w:val="000000" w:themeColor="text1"/>
          <w:kern w:val="0"/>
          <w:szCs w:val="32"/>
          <w14:textFill>
            <w14:solidFill>
              <w14:schemeClr w14:val="tx1"/>
            </w14:solidFill>
          </w14:textFill>
        </w:rPr>
        <w:t>万元（含9%税）</w:t>
      </w:r>
      <w:bookmarkEnd w:id="2"/>
      <w:r>
        <w:rPr>
          <w:color w:val="000000" w:themeColor="text1"/>
          <w14:textFill>
            <w14:solidFill>
              <w14:schemeClr w14:val="tx1"/>
            </w14:solidFill>
          </w14:textFill>
        </w:rPr>
        <w:t>。</w:t>
      </w:r>
    </w:p>
    <w:p>
      <w:pPr>
        <w:pStyle w:val="2"/>
        <w:adjustRightInd w:val="0"/>
        <w:snapToGrid w:val="0"/>
        <w:spacing w:line="420" w:lineRule="exact"/>
        <w:ind w:firstLine="480" w:firstLineChars="200"/>
        <w:rPr>
          <w:b w:val="0"/>
          <w:color w:val="000000" w:themeColor="text1"/>
          <w14:textFill>
            <w14:solidFill>
              <w14:schemeClr w14:val="tx1"/>
            </w14:solidFill>
          </w14:textFill>
        </w:rPr>
      </w:pPr>
      <w:bookmarkStart w:id="3" w:name="_Toc37234563"/>
      <w:r>
        <w:rPr>
          <w:rFonts w:ascii="Times New Roman" w:hAnsi="Times New Roman"/>
          <w:b w:val="0"/>
          <w:bCs w:val="0"/>
          <w:color w:val="000000" w:themeColor="text1"/>
          <w:kern w:val="2"/>
          <w:szCs w:val="24"/>
          <w14:textFill>
            <w14:solidFill>
              <w14:schemeClr w14:val="tx1"/>
            </w14:solidFill>
          </w14:textFill>
        </w:rPr>
        <w:t>8.</w:t>
      </w:r>
      <w:r>
        <w:rPr>
          <w:rFonts w:hint="eastAsia" w:ascii="Times New Roman" w:hAnsi="Times New Roman"/>
          <w:color w:val="000000" w:themeColor="text1"/>
          <w14:textFill>
            <w14:solidFill>
              <w14:schemeClr w14:val="tx1"/>
            </w14:solidFill>
          </w14:textFill>
        </w:rPr>
        <w:t>响应</w:t>
      </w:r>
      <w:r>
        <w:rPr>
          <w:rFonts w:ascii="Times New Roman" w:hAnsi="Times New Roman"/>
          <w:color w:val="000000" w:themeColor="text1"/>
          <w14:textFill>
            <w14:solidFill>
              <w14:schemeClr w14:val="tx1"/>
            </w14:solidFill>
          </w14:textFill>
        </w:rPr>
        <w:t>保证金</w:t>
      </w:r>
      <w:r>
        <w:rPr>
          <w:rFonts w:hint="eastAsia" w:ascii="Times New Roman" w:hAnsi="Times New Roman"/>
          <w:color w:val="000000" w:themeColor="text1"/>
          <w14:textFill>
            <w14:solidFill>
              <w14:schemeClr w14:val="tx1"/>
            </w14:solidFill>
          </w14:textFill>
        </w:rPr>
        <w:t>（不得超过响应</w:t>
      </w:r>
      <w:r>
        <w:rPr>
          <w:rFonts w:ascii="Times New Roman" w:hAnsi="Times New Roman"/>
          <w:color w:val="000000" w:themeColor="text1"/>
          <w14:textFill>
            <w14:solidFill>
              <w14:schemeClr w14:val="tx1"/>
            </w14:solidFill>
          </w14:textFill>
        </w:rPr>
        <w:t>报价</w:t>
      </w:r>
      <w:r>
        <w:rPr>
          <w:rFonts w:hint="eastAsia" w:ascii="Times New Roman" w:hAnsi="Times New Roman"/>
          <w:color w:val="000000" w:themeColor="text1"/>
          <w14:textFill>
            <w14:solidFill>
              <w14:schemeClr w14:val="tx1"/>
            </w14:solidFill>
          </w14:textFill>
        </w:rPr>
        <w:t>总</w:t>
      </w:r>
      <w:r>
        <w:rPr>
          <w:rFonts w:ascii="Times New Roman" w:hAnsi="Times New Roman"/>
          <w:color w:val="000000" w:themeColor="text1"/>
          <w14:textFill>
            <w14:solidFill>
              <w14:schemeClr w14:val="tx1"/>
            </w14:solidFill>
          </w14:textFill>
        </w:rPr>
        <w:t>金额</w:t>
      </w:r>
      <w:r>
        <w:rPr>
          <w:rFonts w:hint="eastAsia" w:ascii="Times New Roman" w:hAnsi="Times New Roman"/>
          <w:color w:val="000000" w:themeColor="text1"/>
          <w14:textFill>
            <w14:solidFill>
              <w14:schemeClr w14:val="tx1"/>
            </w14:solidFill>
          </w14:textFill>
        </w:rPr>
        <w:t>的2%）或</w:t>
      </w:r>
      <w:r>
        <w:rPr>
          <w:rFonts w:hint="eastAsia"/>
        </w:rPr>
        <w:t>履约</w:t>
      </w:r>
      <w:r>
        <w:t>保</w:t>
      </w:r>
      <w:r>
        <w:rPr>
          <w:rFonts w:hint="eastAsia"/>
        </w:rPr>
        <w:t>函或</w:t>
      </w:r>
      <w:r>
        <w:rPr>
          <w:rFonts w:hint="eastAsia" w:ascii="Times New Roman" w:hAnsi="Times New Roman"/>
          <w:color w:val="000000" w:themeColor="text1"/>
          <w14:textFill>
            <w14:solidFill>
              <w14:schemeClr w14:val="tx1"/>
            </w14:solidFill>
          </w14:textFill>
        </w:rPr>
        <w:t>其他</w:t>
      </w:r>
      <w:r>
        <w:rPr>
          <w:rFonts w:ascii="Times New Roman" w:hAnsi="Times New Roman"/>
          <w:color w:val="000000" w:themeColor="text1"/>
          <w14:textFill>
            <w14:solidFill>
              <w14:schemeClr w14:val="tx1"/>
            </w14:solidFill>
          </w14:textFill>
        </w:rPr>
        <w:t>方式</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担保</w:t>
      </w:r>
      <w:r>
        <w:rPr>
          <w:rFonts w:hint="eastAsia" w:ascii="Times New Roman" w:hAnsi="Times New Roman"/>
          <w:color w:val="000000" w:themeColor="text1"/>
          <w14:textFill>
            <w14:solidFill>
              <w14:schemeClr w14:val="tx1"/>
            </w14:solidFill>
          </w14:textFill>
        </w:rPr>
        <w:t>：</w:t>
      </w:r>
      <w:r>
        <w:rPr>
          <w:rFonts w:hint="eastAsia" w:ascii="Times New Roman" w:hAnsi="Times New Roman"/>
          <w:b w:val="0"/>
          <w:color w:val="000000" w:themeColor="text1"/>
          <w14:textFill>
            <w14:solidFill>
              <w14:schemeClr w14:val="tx1"/>
            </w14:solidFill>
          </w14:textFill>
        </w:rPr>
        <w:t>无</w:t>
      </w:r>
      <w:r>
        <w:rPr>
          <w:b w:val="0"/>
          <w:color w:val="000000" w:themeColor="text1"/>
          <w14:textFill>
            <w14:solidFill>
              <w14:schemeClr w14:val="tx1"/>
            </w14:solidFill>
          </w14:textFill>
        </w:rPr>
        <w:t>。</w:t>
      </w:r>
    </w:p>
    <w:p>
      <w:pPr>
        <w:pStyle w:val="2"/>
        <w:adjustRightInd w:val="0"/>
        <w:snapToGrid w:val="0"/>
        <w:spacing w:line="420" w:lineRule="exact"/>
        <w:ind w:firstLine="562" w:firstLineChars="200"/>
        <w:rPr>
          <w:rFonts w:ascii="楷体_GB2312" w:hAnsi="Times New Roman" w:eastAsia="楷体_GB2312"/>
          <w:color w:val="000000" w:themeColor="text1"/>
          <w:sz w:val="28"/>
          <w:szCs w:val="28"/>
          <w14:textFill>
            <w14:solidFill>
              <w14:schemeClr w14:val="tx1"/>
            </w14:solidFill>
          </w14:textFill>
        </w:rPr>
      </w:pPr>
      <w:r>
        <w:rPr>
          <w:rFonts w:hint="eastAsia" w:ascii="楷体_GB2312" w:hAnsi="Times New Roman" w:eastAsia="楷体_GB2312"/>
          <w:color w:val="000000" w:themeColor="text1"/>
          <w:sz w:val="28"/>
          <w:szCs w:val="28"/>
          <w14:textFill>
            <w14:solidFill>
              <w14:schemeClr w14:val="tx1"/>
            </w14:solidFill>
          </w14:textFill>
        </w:rPr>
        <w:t>四、响应人授权代表参会与响应文件的递交的方式一律采用以下（1）：</w:t>
      </w:r>
    </w:p>
    <w:bookmarkEnd w:id="3"/>
    <w:p>
      <w:pPr>
        <w:adjustRightInd w:val="0"/>
        <w:snapToGrid w:val="0"/>
        <w:spacing w:line="420" w:lineRule="exact"/>
        <w:ind w:firstLine="482" w:firstLineChars="200"/>
        <w:rPr>
          <w:b/>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 所有响应人授权</w:t>
      </w:r>
      <w:r>
        <w:rPr>
          <w:b/>
          <w:bCs/>
          <w:color w:val="000000" w:themeColor="text1"/>
          <w14:textFill>
            <w14:solidFill>
              <w14:schemeClr w14:val="tx1"/>
            </w14:solidFill>
          </w14:textFill>
        </w:rPr>
        <w:t>代表不参加</w:t>
      </w:r>
      <w:r>
        <w:rPr>
          <w:rFonts w:hint="eastAsia"/>
          <w:b/>
          <w:color w:val="000000" w:themeColor="text1"/>
          <w14:textFill>
            <w14:solidFill>
              <w14:schemeClr w14:val="tx1"/>
            </w14:solidFill>
          </w14:textFill>
        </w:rPr>
        <w:t>评审（</w:t>
      </w:r>
      <w:r>
        <w:rPr>
          <w:b/>
          <w:color w:val="000000" w:themeColor="text1"/>
          <w14:textFill>
            <w14:solidFill>
              <w14:schemeClr w14:val="tx1"/>
            </w14:solidFill>
          </w14:textFill>
        </w:rPr>
        <w:t>谈判）</w:t>
      </w:r>
      <w:r>
        <w:rPr>
          <w:rFonts w:hint="eastAsia"/>
          <w:b/>
          <w:color w:val="000000" w:themeColor="text1"/>
          <w14:textFill>
            <w14:solidFill>
              <w14:schemeClr w14:val="tx1"/>
            </w14:solidFill>
          </w14:textFill>
        </w:rPr>
        <w:t>会议的</w:t>
      </w:r>
      <w:r>
        <w:rPr>
          <w:b/>
          <w:color w:val="000000" w:themeColor="text1"/>
          <w14:textFill>
            <w14:solidFill>
              <w14:schemeClr w14:val="tx1"/>
            </w14:solidFill>
          </w14:textFill>
        </w:rPr>
        <w:t>：</w:t>
      </w:r>
    </w:p>
    <w:p>
      <w:pPr>
        <w:adjustRightInd w:val="0"/>
        <w:snapToGrid w:val="0"/>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w:t>
      </w:r>
      <w:r>
        <w:rPr>
          <w:color w:val="000000" w:themeColor="text1"/>
          <w14:textFill>
            <w14:solidFill>
              <w14:schemeClr w14:val="tx1"/>
            </w14:solidFill>
          </w14:textFill>
        </w:rPr>
        <w:t>截止</w:t>
      </w:r>
      <w:r>
        <w:rPr>
          <w:rFonts w:hint="eastAsia"/>
          <w:bCs/>
          <w:color w:val="000000" w:themeColor="text1"/>
          <w14:textFill>
            <w14:solidFill>
              <w14:schemeClr w14:val="tx1"/>
            </w14:solidFill>
          </w14:textFill>
        </w:rPr>
        <w:t>时间（即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会议召开之前的</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w:t>
      </w:r>
      <w:r>
        <w:rPr>
          <w:bCs/>
          <w:color w:val="000000" w:themeColor="text1"/>
          <w14:textFill>
            <w14:solidFill>
              <w14:schemeClr w14:val="tx1"/>
            </w14:solidFill>
          </w14:textFill>
        </w:rPr>
        <w:t>：</w:t>
      </w:r>
      <w:r>
        <w:rPr>
          <w:rFonts w:hint="eastAsia"/>
          <w:bCs/>
          <w:color w:val="000000" w:themeColor="text1"/>
          <w:lang w:eastAsia="zh-CN"/>
          <w14:textFill>
            <w14:solidFill>
              <w14:schemeClr w14:val="tx1"/>
            </w14:solidFill>
          </w14:textFill>
        </w:rPr>
        <w:t>预计</w:t>
      </w:r>
      <w:r>
        <w:rPr>
          <w:rFonts w:hint="eastAsia"/>
          <w:color w:val="000000" w:themeColor="text1"/>
          <w14:textFill>
            <w14:solidFill>
              <w14:schemeClr w14:val="tx1"/>
            </w14:solidFill>
          </w14:textFill>
        </w:rPr>
        <w:t>2022年1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日</w:t>
      </w:r>
    </w:p>
    <w:p>
      <w:pPr>
        <w:adjustRightInd w:val="0"/>
        <w:snapToGrid w:val="0"/>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递交地点</w:t>
      </w:r>
      <w:r>
        <w:rPr>
          <w:bCs/>
          <w:color w:val="000000" w:themeColor="text1"/>
          <w14:textFill>
            <w14:solidFill>
              <w14:schemeClr w14:val="tx1"/>
            </w14:solidFill>
          </w14:textFill>
        </w:rPr>
        <w:t>：上海市</w:t>
      </w:r>
      <w:r>
        <w:rPr>
          <w:rFonts w:hint="eastAsia"/>
          <w:bCs/>
          <w:color w:val="000000" w:themeColor="text1"/>
          <w14:textFill>
            <w14:solidFill>
              <w14:schemeClr w14:val="tx1"/>
            </w14:solidFill>
          </w14:textFill>
        </w:rPr>
        <w:t>浦东新区江心沙路</w:t>
      </w:r>
      <w:r>
        <w:rPr>
          <w:bCs/>
          <w:color w:val="000000" w:themeColor="text1"/>
          <w14:textFill>
            <w14:solidFill>
              <w14:schemeClr w14:val="tx1"/>
            </w14:solidFill>
          </w14:textFill>
        </w:rPr>
        <w:t>路</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号</w:t>
      </w:r>
      <w:r>
        <w:rPr>
          <w:rFonts w:hint="eastAsia"/>
          <w:bCs/>
          <w:color w:val="000000" w:themeColor="text1"/>
          <w14:textFill>
            <w14:solidFill>
              <w14:schemeClr w14:val="tx1"/>
            </w14:solidFill>
          </w14:textFill>
        </w:rPr>
        <w:t>中国石化上海高桥石油化工有限公司3#楼707室</w:t>
      </w:r>
      <w:r>
        <w:rPr>
          <w:bCs/>
          <w:color w:val="000000" w:themeColor="text1"/>
          <w14:textFill>
            <w14:solidFill>
              <w14:schemeClr w14:val="tx1"/>
            </w14:solidFill>
          </w14:textFill>
        </w:rPr>
        <w:t>。</w:t>
      </w:r>
    </w:p>
    <w:p>
      <w:pPr>
        <w:adjustRightInd w:val="0"/>
        <w:snapToGrid w:val="0"/>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邮政</w:t>
      </w:r>
      <w:r>
        <w:rPr>
          <w:bCs/>
          <w:color w:val="000000" w:themeColor="text1"/>
          <w14:textFill>
            <w14:solidFill>
              <w14:schemeClr w14:val="tx1"/>
            </w14:solidFill>
          </w14:textFill>
        </w:rPr>
        <w:t>编码</w:t>
      </w:r>
      <w:r>
        <w:rPr>
          <w:rFonts w:hint="eastAsia"/>
          <w:bCs/>
          <w:color w:val="000000" w:themeColor="text1"/>
          <w14:textFill>
            <w14:solidFill>
              <w14:schemeClr w14:val="tx1"/>
            </w14:solidFill>
          </w14:textFill>
        </w:rPr>
        <w:t>：200137</w:t>
      </w:r>
    </w:p>
    <w:p>
      <w:pPr>
        <w:adjustRightInd w:val="0"/>
        <w:snapToGrid w:val="0"/>
        <w:spacing w:line="420" w:lineRule="exact"/>
        <w:ind w:firstLine="480" w:firstLineChars="200"/>
        <w:rPr>
          <w:rFonts w:hint="eastAsia" w:eastAsia="宋体"/>
          <w:bCs/>
          <w:color w:val="000000" w:themeColor="text1"/>
          <w:lang w:eastAsia="zh-CN"/>
          <w14:textFill>
            <w14:solidFill>
              <w14:schemeClr w14:val="tx1"/>
            </w14:solidFill>
          </w14:textFill>
        </w:rPr>
      </w:pPr>
      <w:r>
        <w:rPr>
          <w:rFonts w:hint="eastAsia"/>
          <w:bCs/>
          <w:color w:val="000000" w:themeColor="text1"/>
          <w14:textFill>
            <w14:solidFill>
              <w14:schemeClr w14:val="tx1"/>
            </w14:solidFill>
          </w14:textFill>
        </w:rPr>
        <w:t>接受</w:t>
      </w:r>
      <w:r>
        <w:rPr>
          <w:bCs/>
          <w:color w:val="000000" w:themeColor="text1"/>
          <w14:textFill>
            <w14:solidFill>
              <w14:schemeClr w14:val="tx1"/>
            </w14:solidFill>
          </w14:textFill>
        </w:rPr>
        <w:t>人：</w:t>
      </w:r>
      <w:r>
        <w:rPr>
          <w:rFonts w:hint="eastAsia"/>
          <w:bCs/>
          <w:color w:val="000000" w:themeColor="text1"/>
          <w:lang w:eastAsia="zh-CN"/>
          <w14:textFill>
            <w14:solidFill>
              <w14:schemeClr w14:val="tx1"/>
            </w14:solidFill>
          </w14:textFill>
        </w:rPr>
        <w:t>杨明俊</w:t>
      </w:r>
    </w:p>
    <w:p>
      <w:pPr>
        <w:adjustRightInd w:val="0"/>
        <w:snapToGrid w:val="0"/>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联系</w:t>
      </w:r>
      <w:r>
        <w:rPr>
          <w:bCs/>
          <w:color w:val="000000" w:themeColor="text1"/>
          <w14:textFill>
            <w14:solidFill>
              <w14:schemeClr w14:val="tx1"/>
            </w14:solidFill>
          </w14:textFill>
        </w:rPr>
        <w:t>电话：</w:t>
      </w:r>
      <w:r>
        <w:rPr>
          <w:rFonts w:hint="eastAsia"/>
          <w:bCs/>
          <w:color w:val="000000" w:themeColor="text1"/>
          <w14:textFill>
            <w14:solidFill>
              <w14:schemeClr w14:val="tx1"/>
            </w14:solidFill>
          </w14:textFill>
        </w:rPr>
        <w:t>021-58611060-3</w:t>
      </w:r>
      <w:r>
        <w:rPr>
          <w:rFonts w:hint="eastAsia"/>
          <w:bCs/>
          <w:color w:val="000000" w:themeColor="text1"/>
          <w:lang w:val="en-US" w:eastAsia="zh-CN"/>
          <w14:textFill>
            <w14:solidFill>
              <w14:schemeClr w14:val="tx1"/>
            </w14:solidFill>
          </w14:textFill>
        </w:rPr>
        <w:t>3065</w:t>
      </w:r>
    </w:p>
    <w:p>
      <w:pPr>
        <w:adjustRightInd w:val="0"/>
        <w:snapToGrid w:val="0"/>
        <w:spacing w:line="420" w:lineRule="exact"/>
        <w:ind w:firstLine="482" w:firstLineChars="200"/>
        <w:rPr>
          <w:b/>
          <w:bCs/>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所有响应人授权</w:t>
      </w:r>
      <w:r>
        <w:rPr>
          <w:b/>
          <w:bCs/>
          <w:color w:val="000000" w:themeColor="text1"/>
          <w14:textFill>
            <w14:solidFill>
              <w14:schemeClr w14:val="tx1"/>
            </w14:solidFill>
          </w14:textFill>
        </w:rPr>
        <w:t>代表</w:t>
      </w:r>
      <w:r>
        <w:rPr>
          <w:rFonts w:hint="eastAsia"/>
          <w:b/>
          <w:bCs/>
          <w:color w:val="000000" w:themeColor="text1"/>
          <w14:textFill>
            <w14:solidFill>
              <w14:schemeClr w14:val="tx1"/>
            </w14:solidFill>
          </w14:textFill>
        </w:rPr>
        <w:t>现场</w:t>
      </w:r>
      <w:r>
        <w:rPr>
          <w:b/>
          <w:bCs/>
          <w:color w:val="000000" w:themeColor="text1"/>
          <w14:textFill>
            <w14:solidFill>
              <w14:schemeClr w14:val="tx1"/>
            </w14:solidFill>
          </w14:textFill>
        </w:rPr>
        <w:t>参加</w:t>
      </w:r>
      <w:r>
        <w:rPr>
          <w:rFonts w:hint="eastAsia"/>
          <w:b/>
          <w:color w:val="000000" w:themeColor="text1"/>
          <w14:textFill>
            <w14:solidFill>
              <w14:schemeClr w14:val="tx1"/>
            </w14:solidFill>
          </w14:textFill>
        </w:rPr>
        <w:t>评审（</w:t>
      </w:r>
      <w:r>
        <w:rPr>
          <w:b/>
          <w:color w:val="000000" w:themeColor="text1"/>
          <w14:textFill>
            <w14:solidFill>
              <w14:schemeClr w14:val="tx1"/>
            </w14:solidFill>
          </w14:textFill>
        </w:rPr>
        <w:t>谈判）</w:t>
      </w:r>
      <w:r>
        <w:rPr>
          <w:rFonts w:hint="eastAsia"/>
          <w:b/>
          <w:color w:val="000000" w:themeColor="text1"/>
          <w14:textFill>
            <w14:solidFill>
              <w14:schemeClr w14:val="tx1"/>
            </w14:solidFill>
          </w14:textFill>
        </w:rPr>
        <w:t>会议的</w:t>
      </w:r>
      <w:r>
        <w:rPr>
          <w:b/>
          <w:color w:val="000000" w:themeColor="text1"/>
          <w14:textFill>
            <w14:solidFill>
              <w14:schemeClr w14:val="tx1"/>
            </w14:solidFill>
          </w14:textFill>
        </w:rPr>
        <w:t>：</w:t>
      </w:r>
    </w:p>
    <w:p>
      <w:pPr>
        <w:adjustRightInd w:val="0"/>
        <w:snapToGrid w:val="0"/>
        <w:spacing w:line="420" w:lineRule="exact"/>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递交</w:t>
      </w:r>
      <w:r>
        <w:rPr>
          <w:color w:val="000000" w:themeColor="text1"/>
          <w14:textFill>
            <w14:solidFill>
              <w14:schemeClr w14:val="tx1"/>
            </w14:solidFill>
          </w14:textFill>
        </w:rPr>
        <w:t>截止</w:t>
      </w:r>
      <w:r>
        <w:rPr>
          <w:rFonts w:hint="eastAsia"/>
          <w:bCs/>
          <w:color w:val="000000" w:themeColor="text1"/>
          <w14:textFill>
            <w14:solidFill>
              <w14:schemeClr w14:val="tx1"/>
            </w14:solidFill>
          </w14:textFill>
        </w:rPr>
        <w:t>时间（即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会议召开的</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2"/>
        <w:adjustRightInd w:val="0"/>
        <w:snapToGrid w:val="0"/>
        <w:spacing w:line="420" w:lineRule="exact"/>
        <w:ind w:firstLine="482" w:firstLineChars="200"/>
        <w:rPr>
          <w:color w:val="000000" w:themeColor="text1"/>
          <w14:textFill>
            <w14:solidFill>
              <w14:schemeClr w14:val="tx1"/>
            </w14:solidFill>
          </w14:textFill>
        </w:rPr>
      </w:pPr>
      <w:r>
        <w:rPr>
          <w:rFonts w:hint="eastAsia"/>
          <w:bCs w:val="0"/>
          <w:color w:val="000000" w:themeColor="text1"/>
          <w14:textFill>
            <w14:solidFill>
              <w14:schemeClr w14:val="tx1"/>
            </w14:solidFill>
          </w14:textFill>
        </w:rPr>
        <w:t>递交地点（即</w:t>
      </w:r>
      <w:r>
        <w:rPr>
          <w:rFonts w:hint="eastAsia"/>
          <w:color w:val="000000" w:themeColor="text1"/>
          <w14:textFill>
            <w14:solidFill>
              <w14:schemeClr w14:val="tx1"/>
            </w14:solidFill>
          </w14:textFill>
        </w:rPr>
        <w:t>评审或</w:t>
      </w:r>
      <w:r>
        <w:rPr>
          <w:color w:val="000000" w:themeColor="text1"/>
          <w14:textFill>
            <w14:solidFill>
              <w14:schemeClr w14:val="tx1"/>
            </w14:solidFill>
          </w14:textFill>
        </w:rPr>
        <w:t>谈判</w:t>
      </w:r>
      <w:r>
        <w:rPr>
          <w:rFonts w:hint="eastAsia"/>
          <w:color w:val="000000" w:themeColor="text1"/>
          <w14:textFill>
            <w14:solidFill>
              <w14:schemeClr w14:val="tx1"/>
            </w14:solidFill>
          </w14:textFill>
        </w:rPr>
        <w:t>会议</w:t>
      </w:r>
      <w:r>
        <w:rPr>
          <w:color w:val="000000" w:themeColor="text1"/>
          <w14:textFill>
            <w14:solidFill>
              <w14:schemeClr w14:val="tx1"/>
            </w14:solidFill>
          </w14:textFill>
        </w:rPr>
        <w:t>地点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2"/>
        <w:adjustRightInd w:val="0"/>
        <w:snapToGrid w:val="0"/>
        <w:spacing w:line="42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3</w:t>
      </w:r>
      <w:r>
        <w:rPr>
          <w:rFonts w:hint="eastAsia" w:ascii="Times New Roman" w:hAnsi="Times New Roman"/>
          <w:color w:val="000000" w:themeColor="text1"/>
          <w:kern w:val="2"/>
          <w:szCs w:val="24"/>
          <w14:textFill>
            <w14:solidFill>
              <w14:schemeClr w14:val="tx1"/>
            </w14:solidFill>
          </w14:textFill>
        </w:rPr>
        <w:t>．所有响应人授权</w:t>
      </w:r>
      <w:r>
        <w:rPr>
          <w:rFonts w:ascii="Times New Roman" w:hAnsi="Times New Roman"/>
          <w:color w:val="000000" w:themeColor="text1"/>
          <w:kern w:val="2"/>
          <w:szCs w:val="24"/>
          <w14:textFill>
            <w14:solidFill>
              <w14:schemeClr w14:val="tx1"/>
            </w14:solidFill>
          </w14:textFill>
        </w:rPr>
        <w:t>代表</w:t>
      </w:r>
      <w:r>
        <w:rPr>
          <w:rFonts w:hint="eastAsia" w:ascii="Times New Roman" w:hAnsi="Times New Roman"/>
          <w:color w:val="000000" w:themeColor="text1"/>
          <w:kern w:val="2"/>
          <w:szCs w:val="24"/>
          <w14:textFill>
            <w14:solidFill>
              <w14:schemeClr w14:val="tx1"/>
            </w14:solidFill>
          </w14:textFill>
        </w:rPr>
        <w:t>远程</w:t>
      </w:r>
      <w:r>
        <w:rPr>
          <w:rFonts w:ascii="Times New Roman" w:hAnsi="Times New Roman"/>
          <w:color w:val="000000" w:themeColor="text1"/>
          <w:kern w:val="2"/>
          <w:szCs w:val="24"/>
          <w14:textFill>
            <w14:solidFill>
              <w14:schemeClr w14:val="tx1"/>
            </w14:solidFill>
          </w14:textFill>
        </w:rPr>
        <w:t>参加</w:t>
      </w:r>
      <w:r>
        <w:rPr>
          <w:rFonts w:hint="eastAsia" w:ascii="Times New Roman" w:hAnsi="Times New Roman"/>
          <w:color w:val="000000" w:themeColor="text1"/>
          <w:kern w:val="2"/>
          <w:szCs w:val="24"/>
          <w14:textFill>
            <w14:solidFill>
              <w14:schemeClr w14:val="tx1"/>
            </w14:solidFill>
          </w14:textFill>
        </w:rPr>
        <w:t>评审（</w:t>
      </w:r>
      <w:r>
        <w:rPr>
          <w:rFonts w:ascii="Times New Roman" w:hAnsi="Times New Roman"/>
          <w:color w:val="000000" w:themeColor="text1"/>
          <w:kern w:val="2"/>
          <w:szCs w:val="24"/>
          <w14:textFill>
            <w14:solidFill>
              <w14:schemeClr w14:val="tx1"/>
            </w14:solidFill>
          </w14:textFill>
        </w:rPr>
        <w:t>谈判）</w:t>
      </w:r>
      <w:r>
        <w:rPr>
          <w:rFonts w:hint="eastAsia" w:ascii="Times New Roman" w:hAnsi="Times New Roman"/>
          <w:color w:val="000000" w:themeColor="text1"/>
          <w:kern w:val="2"/>
          <w:szCs w:val="24"/>
          <w14:textFill>
            <w14:solidFill>
              <w14:schemeClr w14:val="tx1"/>
            </w14:solidFill>
          </w14:textFill>
        </w:rPr>
        <w:t>会议的</w:t>
      </w:r>
      <w:r>
        <w:rPr>
          <w:rFonts w:ascii="Times New Roman" w:hAnsi="Times New Roman"/>
          <w:color w:val="000000" w:themeColor="text1"/>
          <w:kern w:val="2"/>
          <w:szCs w:val="24"/>
          <w14:textFill>
            <w14:solidFill>
              <w14:schemeClr w14:val="tx1"/>
            </w14:solidFill>
          </w14:textFill>
        </w:rPr>
        <w:t>：</w:t>
      </w:r>
    </w:p>
    <w:p>
      <w:pPr>
        <w:adjustRightInd w:val="0"/>
        <w:snapToGrid w:val="0"/>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w:t>
      </w:r>
      <w:r>
        <w:rPr>
          <w:bCs/>
          <w:color w:val="000000" w:themeColor="text1"/>
          <w14:textFill>
            <w14:solidFill>
              <w14:schemeClr w14:val="tx1"/>
            </w14:solidFill>
          </w14:textFill>
        </w:rPr>
        <w:t>截止</w:t>
      </w:r>
      <w:r>
        <w:rPr>
          <w:rFonts w:hint="eastAsia"/>
          <w:bCs/>
          <w:color w:val="000000" w:themeColor="text1"/>
          <w14:textFill>
            <w14:solidFill>
              <w14:schemeClr w14:val="tx1"/>
            </w14:solidFill>
          </w14:textFill>
        </w:rPr>
        <w:t>时间（即</w:t>
      </w:r>
      <w:r>
        <w:rPr>
          <w:bCs/>
          <w:color w:val="000000" w:themeColor="text1"/>
          <w14:textFill>
            <w14:solidFill>
              <w14:schemeClr w14:val="tx1"/>
            </w14:solidFill>
          </w14:textFill>
        </w:rPr>
        <w:t>腾讯</w:t>
      </w:r>
      <w:r>
        <w:rPr>
          <w:rFonts w:hint="eastAsia"/>
          <w:bCs/>
          <w:color w:val="000000" w:themeColor="text1"/>
          <w14:textFill>
            <w14:solidFill>
              <w14:schemeClr w14:val="tx1"/>
            </w14:solidFill>
          </w14:textFill>
        </w:rPr>
        <w:t>视频评审或</w:t>
      </w:r>
      <w:r>
        <w:rPr>
          <w:bCs/>
          <w:color w:val="000000" w:themeColor="text1"/>
          <w14:textFill>
            <w14:solidFill>
              <w14:schemeClr w14:val="tx1"/>
            </w14:solidFill>
          </w14:textFill>
        </w:rPr>
        <w:t>谈判会议</w:t>
      </w:r>
      <w:r>
        <w:rPr>
          <w:rFonts w:hint="eastAsia"/>
          <w:bCs/>
          <w:color w:val="000000" w:themeColor="text1"/>
          <w14:textFill>
            <w14:solidFill>
              <w14:schemeClr w14:val="tx1"/>
            </w14:solidFill>
          </w14:textFill>
        </w:rPr>
        <w:t>召开的</w:t>
      </w:r>
      <w:r>
        <w:rPr>
          <w:bCs/>
          <w:color w:val="000000" w:themeColor="text1"/>
          <w14:textFill>
            <w14:solidFill>
              <w14:schemeClr w14:val="tx1"/>
            </w14:solidFill>
          </w14:textFill>
        </w:rPr>
        <w:t>时间</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w:t>
      </w:r>
    </w:p>
    <w:p>
      <w:pPr>
        <w:widowControl/>
        <w:spacing w:line="420" w:lineRule="exact"/>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递交方式：</w:t>
      </w:r>
      <w:r>
        <w:rPr>
          <w:bCs/>
          <w:color w:val="000000" w:themeColor="text1"/>
          <w14:textFill>
            <w14:solidFill>
              <w14:schemeClr w14:val="tx1"/>
            </w14:solidFill>
          </w14:textFill>
        </w:rPr>
        <w:t>腾讯会议开始，</w:t>
      </w:r>
      <w:r>
        <w:rPr>
          <w:rFonts w:hint="eastAsia"/>
          <w:b/>
          <w:color w:val="000000" w:themeColor="text1"/>
          <w14:textFill>
            <w14:solidFill>
              <w14:schemeClr w14:val="tx1"/>
            </w14:solidFill>
          </w14:textFill>
        </w:rPr>
        <w:t>评审（</w:t>
      </w:r>
      <w:r>
        <w:rPr>
          <w:b/>
          <w:color w:val="000000" w:themeColor="text1"/>
          <w14:textFill>
            <w14:solidFill>
              <w14:schemeClr w14:val="tx1"/>
            </w14:solidFill>
          </w14:textFill>
        </w:rPr>
        <w:t>谈判）</w:t>
      </w:r>
      <w:r>
        <w:rPr>
          <w:rFonts w:hint="eastAsia"/>
          <w:b/>
          <w:color w:val="000000" w:themeColor="text1"/>
          <w14:textFill>
            <w14:solidFill>
              <w14:schemeClr w14:val="tx1"/>
            </w14:solidFill>
          </w14:textFill>
        </w:rPr>
        <w:t>小组全体</w:t>
      </w:r>
      <w:r>
        <w:rPr>
          <w:b/>
          <w:color w:val="000000" w:themeColor="text1"/>
          <w14:textFill>
            <w14:solidFill>
              <w14:schemeClr w14:val="tx1"/>
            </w14:solidFill>
          </w14:textFill>
        </w:rPr>
        <w:t>成员、监督人员</w:t>
      </w:r>
      <w:r>
        <w:rPr>
          <w:rFonts w:hint="eastAsia"/>
          <w:b/>
          <w:color w:val="000000" w:themeColor="text1"/>
          <w14:textFill>
            <w14:solidFill>
              <w14:schemeClr w14:val="tx1"/>
            </w14:solidFill>
          </w14:textFill>
        </w:rPr>
        <w:t>和</w:t>
      </w:r>
      <w:r>
        <w:rPr>
          <w:b/>
          <w:color w:val="000000" w:themeColor="text1"/>
          <w14:textFill>
            <w14:solidFill>
              <w14:schemeClr w14:val="tx1"/>
            </w14:solidFill>
          </w14:textFill>
        </w:rPr>
        <w:t>所有响应人</w:t>
      </w:r>
      <w:r>
        <w:rPr>
          <w:rFonts w:hint="eastAsia"/>
          <w:b/>
          <w:color w:val="000000" w:themeColor="text1"/>
          <w14:textFill>
            <w14:solidFill>
              <w14:schemeClr w14:val="tx1"/>
            </w14:solidFill>
          </w14:textFill>
        </w:rPr>
        <w:t>授权代表</w:t>
      </w:r>
      <w:r>
        <w:rPr>
          <w:b/>
          <w:color w:val="000000" w:themeColor="text1"/>
          <w14:textFill>
            <w14:solidFill>
              <w14:schemeClr w14:val="tx1"/>
            </w14:solidFill>
          </w14:textFill>
        </w:rPr>
        <w:t>到齐</w:t>
      </w:r>
      <w:r>
        <w:rPr>
          <w:rFonts w:hint="eastAsia"/>
          <w:b/>
          <w:color w:val="000000" w:themeColor="text1"/>
          <w14:textFill>
            <w14:solidFill>
              <w14:schemeClr w14:val="tx1"/>
            </w14:solidFill>
          </w14:textFill>
        </w:rPr>
        <w:t>后，由</w:t>
      </w:r>
      <w:r>
        <w:rPr>
          <w:bCs/>
          <w:color w:val="000000" w:themeColor="text1"/>
          <w14:textFill>
            <w14:solidFill>
              <w14:schemeClr w14:val="tx1"/>
            </w14:solidFill>
          </w14:textFill>
        </w:rPr>
        <w:t>主持人</w:t>
      </w:r>
      <w:r>
        <w:rPr>
          <w:rFonts w:hint="eastAsia"/>
          <w:bCs/>
          <w:color w:val="000000" w:themeColor="text1"/>
          <w14:textFill>
            <w14:solidFill>
              <w14:schemeClr w14:val="tx1"/>
            </w14:solidFill>
          </w14:textFill>
        </w:rPr>
        <w:t>宣布发送响应文件，并</w:t>
      </w:r>
      <w:r>
        <w:rPr>
          <w:bCs/>
          <w:color w:val="000000" w:themeColor="text1"/>
          <w14:textFill>
            <w14:solidFill>
              <w14:schemeClr w14:val="tx1"/>
            </w14:solidFill>
          </w14:textFill>
        </w:rPr>
        <w:t>打开屏幕共享，</w:t>
      </w:r>
      <w:r>
        <w:rPr>
          <w:rFonts w:hint="eastAsia"/>
          <w:bCs/>
          <w:color w:val="000000" w:themeColor="text1"/>
          <w14:textFill>
            <w14:solidFill>
              <w14:schemeClr w14:val="tx1"/>
            </w14:solidFill>
          </w14:textFill>
        </w:rPr>
        <w:t>响应人</w:t>
      </w:r>
      <w:r>
        <w:rPr>
          <w:bCs/>
          <w:color w:val="000000" w:themeColor="text1"/>
          <w14:textFill>
            <w14:solidFill>
              <w14:schemeClr w14:val="tx1"/>
            </w14:solidFill>
          </w14:textFill>
        </w:rPr>
        <w:t>将</w:t>
      </w:r>
      <w:r>
        <w:rPr>
          <w:rFonts w:hint="eastAsia"/>
          <w:bCs/>
          <w:color w:val="000000" w:themeColor="text1"/>
          <w14:textFill>
            <w14:solidFill>
              <w14:schemeClr w14:val="tx1"/>
            </w14:solidFill>
          </w14:textFill>
        </w:rPr>
        <w:t>响应文件（响应文件</w:t>
      </w:r>
      <w:r>
        <w:rPr>
          <w:bCs/>
          <w:color w:val="000000" w:themeColor="text1"/>
          <w14:textFill>
            <w14:solidFill>
              <w14:schemeClr w14:val="tx1"/>
            </w14:solidFill>
          </w14:textFill>
        </w:rPr>
        <w:t>中的签字盖章页</w:t>
      </w:r>
      <w:r>
        <w:rPr>
          <w:rFonts w:hint="eastAsia"/>
          <w:bCs/>
          <w:color w:val="000000" w:themeColor="text1"/>
          <w14:textFill>
            <w14:solidFill>
              <w14:schemeClr w14:val="tx1"/>
            </w14:solidFill>
          </w14:textFill>
        </w:rPr>
        <w:t>必须是</w:t>
      </w:r>
      <w:r>
        <w:rPr>
          <w:bCs/>
          <w:color w:val="000000" w:themeColor="text1"/>
          <w14:textFill>
            <w14:solidFill>
              <w14:schemeClr w14:val="tx1"/>
            </w14:solidFill>
          </w14:textFill>
        </w:rPr>
        <w:t>扫描件</w:t>
      </w:r>
      <w:r>
        <w:rPr>
          <w:rFonts w:hint="eastAsia"/>
          <w:bCs/>
          <w:color w:val="000000" w:themeColor="text1"/>
          <w14:textFill>
            <w14:solidFill>
              <w14:schemeClr w14:val="tx1"/>
            </w14:solidFill>
          </w14:textFill>
        </w:rPr>
        <w:t>, 且</w:t>
      </w:r>
      <w:r>
        <w:rPr>
          <w:bCs/>
          <w:color w:val="000000" w:themeColor="text1"/>
          <w14:textFill>
            <w14:solidFill>
              <w14:schemeClr w14:val="tx1"/>
            </w14:solidFill>
          </w14:textFill>
        </w:rPr>
        <w:t>在原件上注明“</w:t>
      </w:r>
      <w:r>
        <w:rPr>
          <w:rFonts w:hint="eastAsia"/>
          <w:bCs/>
          <w:color w:val="000000" w:themeColor="text1"/>
          <w14:textFill>
            <w14:solidFill>
              <w14:schemeClr w14:val="tx1"/>
            </w14:solidFill>
          </w14:textFill>
        </w:rPr>
        <w:t>扫描</w:t>
      </w:r>
      <w:r>
        <w:rPr>
          <w:bCs/>
          <w:color w:val="000000" w:themeColor="text1"/>
          <w14:textFill>
            <w14:solidFill>
              <w14:schemeClr w14:val="tx1"/>
            </w14:solidFill>
          </w14:textFill>
        </w:rPr>
        <w:t>件有效”</w:t>
      </w:r>
      <w:r>
        <w:rPr>
          <w:rFonts w:hint="eastAsia"/>
          <w:bCs/>
          <w:color w:val="000000" w:themeColor="text1"/>
          <w14:textFill>
            <w14:solidFill>
              <w14:schemeClr w14:val="tx1"/>
            </w14:solidFill>
          </w14:textFill>
        </w:rPr>
        <w:t>后</w:t>
      </w:r>
      <w:r>
        <w:rPr>
          <w:bCs/>
          <w:color w:val="000000" w:themeColor="text1"/>
          <w14:textFill>
            <w14:solidFill>
              <w14:schemeClr w14:val="tx1"/>
            </w14:solidFill>
          </w14:textFill>
        </w:rPr>
        <w:t>再</w:t>
      </w:r>
      <w:r>
        <w:rPr>
          <w:rFonts w:hint="eastAsia"/>
          <w:bCs/>
          <w:color w:val="000000" w:themeColor="text1"/>
          <w14:textFill>
            <w14:solidFill>
              <w14:schemeClr w14:val="tx1"/>
            </w14:solidFill>
          </w14:textFill>
        </w:rPr>
        <w:t>扫描）</w:t>
      </w:r>
      <w:r>
        <w:rPr>
          <w:bCs/>
          <w:color w:val="000000" w:themeColor="text1"/>
          <w14:textFill>
            <w14:solidFill>
              <w14:schemeClr w14:val="tx1"/>
            </w14:solidFill>
          </w14:textFill>
        </w:rPr>
        <w:t>以私聊形式发送</w:t>
      </w:r>
      <w:r>
        <w:rPr>
          <w:rFonts w:hint="eastAsia"/>
          <w:bCs/>
          <w:color w:val="000000" w:themeColor="text1"/>
          <w14:textFill>
            <w14:solidFill>
              <w14:schemeClr w14:val="tx1"/>
            </w14:solidFill>
          </w14:textFill>
        </w:rPr>
        <w:t>给</w:t>
      </w:r>
      <w:r>
        <w:rPr>
          <w:bCs/>
          <w:color w:val="000000" w:themeColor="text1"/>
          <w14:textFill>
            <w14:solidFill>
              <w14:schemeClr w14:val="tx1"/>
            </w14:solidFill>
          </w14:textFill>
        </w:rPr>
        <w:t>主持人，主持人在</w:t>
      </w:r>
      <w:r>
        <w:rPr>
          <w:rFonts w:hint="eastAsia"/>
          <w:bCs/>
          <w:color w:val="000000" w:themeColor="text1"/>
          <w14:textFill>
            <w14:solidFill>
              <w14:schemeClr w14:val="tx1"/>
            </w14:solidFill>
          </w14:textFill>
        </w:rPr>
        <w:t>全体</w:t>
      </w:r>
      <w:r>
        <w:rPr>
          <w:bCs/>
          <w:color w:val="000000" w:themeColor="text1"/>
          <w14:textFill>
            <w14:solidFill>
              <w14:schemeClr w14:val="tx1"/>
            </w14:solidFill>
          </w14:textFill>
        </w:rPr>
        <w:t>人员</w:t>
      </w:r>
      <w:r>
        <w:rPr>
          <w:rFonts w:hint="eastAsia"/>
          <w:bCs/>
          <w:color w:val="000000" w:themeColor="text1"/>
          <w14:textFill>
            <w14:solidFill>
              <w14:schemeClr w14:val="tx1"/>
            </w14:solidFill>
          </w14:textFill>
        </w:rPr>
        <w:t>的</w:t>
      </w:r>
      <w:r>
        <w:rPr>
          <w:bCs/>
          <w:color w:val="000000" w:themeColor="text1"/>
          <w14:textFill>
            <w14:solidFill>
              <w14:schemeClr w14:val="tx1"/>
            </w14:solidFill>
          </w14:textFill>
        </w:rPr>
        <w:t>见证下保存标书。</w:t>
      </w:r>
    </w:p>
    <w:p>
      <w:pPr>
        <w:pStyle w:val="2"/>
        <w:adjustRightInd w:val="0"/>
        <w:snapToGrid w:val="0"/>
        <w:spacing w:line="420" w:lineRule="exact"/>
        <w:ind w:firstLine="562" w:firstLineChars="200"/>
        <w:rPr>
          <w:rFonts w:ascii="楷体_GB2312" w:hAnsi="Times New Roman" w:eastAsia="楷体_GB2312"/>
          <w:color w:val="000000" w:themeColor="text1"/>
          <w:sz w:val="28"/>
          <w:szCs w:val="28"/>
          <w14:textFill>
            <w14:solidFill>
              <w14:schemeClr w14:val="tx1"/>
            </w14:solidFill>
          </w14:textFill>
        </w:rPr>
      </w:pPr>
      <w:bookmarkStart w:id="4" w:name="_Toc37234567"/>
      <w:r>
        <w:rPr>
          <w:rFonts w:hint="eastAsia" w:ascii="楷体_GB2312" w:hAnsi="Times New Roman" w:eastAsia="楷体_GB2312"/>
          <w:color w:val="000000" w:themeColor="text1"/>
          <w:sz w:val="28"/>
          <w:szCs w:val="28"/>
          <w14:textFill>
            <w14:solidFill>
              <w14:schemeClr w14:val="tx1"/>
            </w14:solidFill>
          </w14:textFill>
        </w:rPr>
        <w:t>五、其它</w:t>
      </w:r>
      <w:bookmarkEnd w:id="4"/>
      <w:r>
        <w:rPr>
          <w:rFonts w:hint="eastAsia" w:ascii="楷体_GB2312" w:hAnsi="Times New Roman" w:eastAsia="楷体_GB2312"/>
          <w:color w:val="000000" w:themeColor="text1"/>
          <w:sz w:val="28"/>
          <w:szCs w:val="28"/>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本次竞争性选商对响应人不作经济补偿。</w:t>
      </w:r>
    </w:p>
    <w:p>
      <w:pPr>
        <w:pStyle w:val="2"/>
        <w:adjustRightInd w:val="0"/>
        <w:snapToGrid w:val="0"/>
        <w:spacing w:line="420" w:lineRule="exact"/>
        <w:ind w:firstLine="562" w:firstLineChars="200"/>
        <w:rPr>
          <w:rFonts w:ascii="楷体_GB2312" w:hAnsi="Times New Roman" w:eastAsia="楷体_GB2312"/>
          <w:color w:val="000000" w:themeColor="text1"/>
          <w:sz w:val="28"/>
          <w:szCs w:val="28"/>
          <w14:textFill>
            <w14:solidFill>
              <w14:schemeClr w14:val="tx1"/>
            </w14:solidFill>
          </w14:textFill>
        </w:rPr>
      </w:pPr>
      <w:bookmarkStart w:id="5" w:name="_Toc37234568"/>
      <w:r>
        <w:rPr>
          <w:rFonts w:hint="eastAsia" w:ascii="楷体_GB2312" w:hAnsi="Times New Roman" w:eastAsia="楷体_GB2312"/>
          <w:color w:val="000000" w:themeColor="text1"/>
          <w:sz w:val="28"/>
          <w:szCs w:val="28"/>
          <w14:textFill>
            <w14:solidFill>
              <w14:schemeClr w14:val="tx1"/>
            </w14:solidFill>
          </w14:textFill>
        </w:rPr>
        <w:t>六、竞争性选商邀请人</w:t>
      </w:r>
      <w:bookmarkEnd w:id="5"/>
    </w:p>
    <w:p>
      <w:pPr>
        <w:adjustRightInd w:val="0"/>
        <w:snapToGrid w:val="0"/>
        <w:spacing w:line="4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名称：</w:t>
      </w:r>
      <w:r>
        <w:rPr>
          <w:color w:val="000000" w:themeColor="text1"/>
          <w:u w:val="single"/>
          <w14:textFill>
            <w14:solidFill>
              <w14:schemeClr w14:val="tx1"/>
            </w14:solidFill>
          </w14:textFill>
        </w:rPr>
        <w:t>中国石化上海高桥石油化工有限公司</w:t>
      </w:r>
      <w:r>
        <w:rPr>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杨明俊</w:t>
      </w:r>
      <w:r>
        <w:rPr>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上海浦东新区</w:t>
      </w:r>
      <w:r>
        <w:rPr>
          <w:rFonts w:hint="eastAsia"/>
          <w:color w:val="000000" w:themeColor="text1"/>
          <w:u w:val="single"/>
          <w14:textFill>
            <w14:solidFill>
              <w14:schemeClr w14:val="tx1"/>
            </w14:solidFill>
          </w14:textFill>
        </w:rPr>
        <w:t>江心沙路1号3#楼707房间</w:t>
      </w:r>
      <w:r>
        <w:rPr>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电话：</w:t>
      </w:r>
      <w:r>
        <w:rPr>
          <w:color w:val="000000" w:themeColor="text1"/>
          <w:u w:val="single"/>
          <w14:textFill>
            <w14:solidFill>
              <w14:schemeClr w14:val="tx1"/>
            </w14:solidFill>
          </w14:textFill>
        </w:rPr>
        <w:t>021-58711001转</w:t>
      </w:r>
      <w:r>
        <w:rPr>
          <w:rFonts w:hint="eastAsia"/>
          <w:color w:val="000000" w:themeColor="text1"/>
          <w:u w:val="single"/>
          <w14:textFill>
            <w14:solidFill>
              <w14:schemeClr w14:val="tx1"/>
            </w14:solidFill>
          </w14:textFill>
        </w:rPr>
        <w:t>3</w:t>
      </w:r>
      <w:r>
        <w:rPr>
          <w:rFonts w:hint="eastAsia"/>
          <w:color w:val="000000" w:themeColor="text1"/>
          <w:u w:val="single"/>
          <w:lang w:val="en-US" w:eastAsia="zh-CN"/>
          <w14:textFill>
            <w14:solidFill>
              <w14:schemeClr w14:val="tx1"/>
            </w14:solidFill>
          </w14:textFill>
        </w:rPr>
        <w:t>3065</w:t>
      </w:r>
      <w:r>
        <w:rPr>
          <w:color w:val="000000" w:themeColor="text1"/>
          <w14:textFill>
            <w14:solidFill>
              <w14:schemeClr w14:val="tx1"/>
            </w14:solidFill>
          </w14:textFill>
        </w:rPr>
        <w:t>；</w:t>
      </w:r>
    </w:p>
    <w:p>
      <w:pPr>
        <w:adjustRightInd w:val="0"/>
        <w:snapToGrid w:val="0"/>
        <w:spacing w:line="420" w:lineRule="exact"/>
        <w:ind w:firstLine="48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电子邮箱：</w:t>
      </w:r>
      <w:r>
        <w:rPr>
          <w:rFonts w:hint="eastAsia"/>
          <w:color w:val="000000" w:themeColor="text1"/>
          <w:lang w:val="en-US" w:eastAsia="zh-CN"/>
          <w14:textFill>
            <w14:solidFill>
              <w14:schemeClr w14:val="tx1"/>
            </w14:solidFill>
          </w14:textFill>
        </w:rPr>
        <w:t>yangmingjun</w:t>
      </w:r>
      <w:r>
        <w:rPr>
          <w:u w:val="single"/>
        </w:rPr>
        <w:t>.gqsh@sinopec.com</w:t>
      </w:r>
      <w:r>
        <w:rPr>
          <w:color w:val="000000" w:themeColor="text1"/>
          <w:u w:val="single"/>
          <w14:textFill>
            <w14:solidFill>
              <w14:schemeClr w14:val="tx1"/>
            </w14:solidFill>
          </w14:textFill>
        </w:rPr>
        <w:t>。</w:t>
      </w:r>
      <w:bookmarkStart w:id="6" w:name="OLE_LINK59"/>
    </w:p>
    <w:p>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42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竞争</w:t>
      </w:r>
      <w:r>
        <w:rPr>
          <w:rFonts w:ascii="黑体" w:hAnsi="黑体" w:eastAsia="黑体"/>
          <w:b/>
          <w:color w:val="000000" w:themeColor="text1"/>
          <w:sz w:val="32"/>
          <w:szCs w:val="32"/>
          <w14:textFill>
            <w14:solidFill>
              <w14:schemeClr w14:val="tx1"/>
            </w14:solidFill>
          </w14:textFill>
        </w:rPr>
        <w:t>性选商</w:t>
      </w:r>
      <w:r>
        <w:rPr>
          <w:rFonts w:hint="eastAsia" w:ascii="黑体" w:hAnsi="黑体" w:eastAsia="黑体"/>
          <w:b/>
          <w:color w:val="000000" w:themeColor="text1"/>
          <w:sz w:val="32"/>
          <w:szCs w:val="32"/>
          <w14:textFill>
            <w14:solidFill>
              <w14:schemeClr w14:val="tx1"/>
            </w14:solidFill>
          </w14:textFill>
        </w:rPr>
        <w:t>响应文件编制须知</w:t>
      </w:r>
    </w:p>
    <w:p>
      <w:pPr>
        <w:spacing w:line="420" w:lineRule="exact"/>
        <w:ind w:firstLine="482" w:firstLineChars="200"/>
        <w:rPr>
          <w:b/>
        </w:rPr>
      </w:pP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一、响应人单位资格证明材料</w:t>
      </w:r>
    </w:p>
    <w:p>
      <w:pPr>
        <w:spacing w:line="420" w:lineRule="exact"/>
        <w:ind w:firstLine="480" w:firstLineChars="200"/>
      </w:pPr>
      <w:r>
        <w:t>政府部门颁发的</w:t>
      </w:r>
      <w:r>
        <w:rPr>
          <w:rFonts w:hint="eastAsia"/>
        </w:rPr>
        <w:t>企业的营业执照、资信资格</w:t>
      </w:r>
      <w:r>
        <w:t>证书</w:t>
      </w:r>
      <w:r>
        <w:rPr>
          <w:rFonts w:hint="eastAsia"/>
        </w:rPr>
        <w:t>、资质等级证书、安全生产许可证及质量、环境、职业健康安全管理体系认证证书等。</w:t>
      </w:r>
    </w:p>
    <w:p>
      <w:pPr>
        <w:spacing w:line="420" w:lineRule="exact"/>
        <w:ind w:firstLine="480" w:firstLineChars="200"/>
      </w:pPr>
      <w:r>
        <w:t>主要负责人、项目负责人、专职安全生产管理人员取得政府部门颁发的安全生产考核合格证书情况资料。</w:t>
      </w:r>
    </w:p>
    <w:p>
      <w:pPr>
        <w:spacing w:line="420" w:lineRule="exact"/>
        <w:ind w:firstLine="480" w:firstLineChars="200"/>
      </w:pPr>
      <w:r>
        <w:t>HSE或安全管理体系、安全生产标准化的建立及运行情况资料。</w:t>
      </w:r>
    </w:p>
    <w:p>
      <w:pPr>
        <w:spacing w:line="420" w:lineRule="exact"/>
        <w:ind w:firstLine="480" w:firstLineChars="200"/>
      </w:pPr>
      <w:r>
        <w:t>近三年的安全业绩情况资料。</w:t>
      </w:r>
    </w:p>
    <w:p>
      <w:pPr>
        <w:spacing w:line="420" w:lineRule="exact"/>
        <w:ind w:firstLine="480" w:firstLineChars="200"/>
      </w:pPr>
      <w:r>
        <w:rPr>
          <w:rFonts w:hint="eastAsia"/>
        </w:rPr>
        <w:t>近三年财务审计报告，最近一年的纳税信用等级为B级及以上。</w:t>
      </w:r>
    </w:p>
    <w:p>
      <w:pPr>
        <w:spacing w:line="420" w:lineRule="exact"/>
        <w:ind w:firstLine="562" w:firstLineChars="200"/>
        <w:rPr>
          <w:rFonts w:ascii="楷体_GB2312" w:eastAsia="楷体_GB2312"/>
          <w:b/>
          <w:color w:val="0000FF"/>
          <w:sz w:val="28"/>
          <w:szCs w:val="28"/>
        </w:rPr>
      </w:pPr>
      <w:r>
        <w:rPr>
          <w:rFonts w:hint="eastAsia" w:ascii="楷体_GB2312" w:eastAsia="楷体_GB2312"/>
          <w:b/>
          <w:sz w:val="28"/>
          <w:szCs w:val="28"/>
        </w:rPr>
        <w:t>二、HSE管理响应要求</w:t>
      </w:r>
    </w:p>
    <w:p>
      <w:pPr>
        <w:spacing w:line="420" w:lineRule="exact"/>
        <w:ind w:firstLine="482" w:firstLineChars="200"/>
      </w:pPr>
      <w:r>
        <w:rPr>
          <w:rFonts w:hint="eastAsia"/>
          <w:b/>
        </w:rPr>
        <w:t xml:space="preserve">1. </w:t>
      </w:r>
      <w:r>
        <w:rPr>
          <w:b/>
        </w:rPr>
        <w:t>安全</w:t>
      </w:r>
      <w:r>
        <w:rPr>
          <w:rFonts w:hint="eastAsia"/>
          <w:b/>
        </w:rPr>
        <w:t>目标</w:t>
      </w:r>
      <w:r>
        <w:rPr>
          <w:rFonts w:hint="eastAsia"/>
        </w:rPr>
        <w:t>：响应人</w:t>
      </w:r>
      <w:r>
        <w:rPr>
          <w:rFonts w:hint="eastAsia"/>
          <w:b/>
        </w:rPr>
        <w:t>须承诺：</w:t>
      </w:r>
      <w:r>
        <w:rPr>
          <w:rFonts w:hint="eastAsia"/>
        </w:rPr>
        <w:t>对本业务</w:t>
      </w:r>
      <w:r>
        <w:t>（</w:t>
      </w:r>
      <w:r>
        <w:rPr>
          <w:rFonts w:hint="eastAsia"/>
        </w:rPr>
        <w:t>项目）严格按国家、邀请人的要求精心组织与管理，确保安全生产事故为零。</w:t>
      </w:r>
    </w:p>
    <w:p>
      <w:pPr>
        <w:spacing w:line="420" w:lineRule="exact"/>
        <w:ind w:firstLine="482" w:firstLineChars="200"/>
        <w:rPr>
          <w:b/>
        </w:rPr>
      </w:pPr>
      <w:r>
        <w:rPr>
          <w:rFonts w:hint="eastAsia"/>
          <w:b/>
        </w:rPr>
        <w:t xml:space="preserve">2. </w:t>
      </w:r>
      <w:r>
        <w:rPr>
          <w:b/>
        </w:rPr>
        <w:t>安全保证</w:t>
      </w:r>
      <w:r>
        <w:rPr>
          <w:rFonts w:hint="eastAsia"/>
          <w:b/>
        </w:rPr>
        <w:t>措施</w:t>
      </w:r>
      <w:r>
        <w:rPr>
          <w:rFonts w:hint="eastAsia"/>
        </w:rPr>
        <w:t>：响应人</w:t>
      </w:r>
      <w:r>
        <w:rPr>
          <w:rFonts w:hint="eastAsia"/>
          <w:b/>
        </w:rPr>
        <w:t>须承诺：</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（1）响应人应执行《HSE管理协议》（见附件3）</w:t>
      </w:r>
      <w:r>
        <w:rPr>
          <w:rFonts w:hAnsiTheme="minorEastAsia" w:eastAsiaTheme="minorEastAsia"/>
        </w:rPr>
        <w:t>、《中国石化承包商安全监督管理办法》(中国石化安(2017) 603号)、关于印发《加强直接作业环节安全管理十条措施》的通知等规定</w:t>
      </w:r>
      <w:r>
        <w:rPr>
          <w:rFonts w:hint="eastAsia" w:hAnsiTheme="minorEastAsia" w:eastAsiaTheme="minorEastAsia"/>
        </w:rPr>
        <w:t>。响应人应遵守上海市政府及中石化颁布的相关疫情防控要求。</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（2）</w:t>
      </w:r>
      <w:r>
        <w:rPr>
          <w:rFonts w:hAnsiTheme="minorEastAsia" w:eastAsiaTheme="minorEastAsia"/>
        </w:rPr>
        <w:t>响应</w:t>
      </w:r>
      <w:r>
        <w:rPr>
          <w:rFonts w:hint="eastAsia" w:hAnsiTheme="minorEastAsia" w:eastAsiaTheme="minorEastAsia"/>
        </w:rPr>
        <w:t>人</w:t>
      </w:r>
      <w:r>
        <w:rPr>
          <w:rFonts w:hAnsiTheme="minorEastAsia" w:eastAsiaTheme="minorEastAsia"/>
        </w:rPr>
        <w:t>对特殊作业及危险性较大的施工现场必须配备安全视频监控设施。</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（3）</w:t>
      </w:r>
      <w:r>
        <w:rPr>
          <w:rFonts w:hAnsiTheme="minorEastAsia" w:eastAsiaTheme="minorEastAsia"/>
        </w:rPr>
        <w:t>响应</w:t>
      </w:r>
      <w:r>
        <w:rPr>
          <w:rFonts w:hint="eastAsia" w:hAnsiTheme="minorEastAsia" w:eastAsiaTheme="minorEastAsia"/>
        </w:rPr>
        <w:t>人</w:t>
      </w:r>
      <w:r>
        <w:rPr>
          <w:rFonts w:hAnsiTheme="minorEastAsia" w:eastAsiaTheme="minorEastAsia"/>
        </w:rPr>
        <w:t>对施工过程中存在的危害因素进行风险分析，制定安全措施和应急预案。</w:t>
      </w:r>
    </w:p>
    <w:p>
      <w:pPr>
        <w:pStyle w:val="26"/>
        <w:spacing w:line="420" w:lineRule="exact"/>
        <w:ind w:firstLine="0" w:firstLineChars="0"/>
      </w:pPr>
      <w:r>
        <w:rPr>
          <w:rFonts w:hint="eastAsia" w:hAnsiTheme="minorEastAsia" w:eastAsiaTheme="minorEastAsia"/>
        </w:rPr>
        <w:t>（4）</w:t>
      </w:r>
      <w:r>
        <w:rPr>
          <w:rFonts w:hAnsiTheme="minorEastAsia" w:eastAsiaTheme="minorEastAsia"/>
        </w:rPr>
        <w:t>响应</w:t>
      </w:r>
      <w:r>
        <w:rPr>
          <w:rFonts w:hint="eastAsia" w:hAnsiTheme="minorEastAsia" w:eastAsiaTheme="minorEastAsia"/>
        </w:rPr>
        <w:t>人</w:t>
      </w:r>
      <w:r>
        <w:rPr>
          <w:rFonts w:hAnsiTheme="minorEastAsia" w:eastAsiaTheme="minorEastAsia"/>
        </w:rPr>
        <w:t>应建立健全的安全管理体系，有符合制度规定的现场项目负责人、技术负责人、安全负责人及安全管理人员，并持证上岗。</w:t>
      </w:r>
    </w:p>
    <w:p>
      <w:pPr>
        <w:spacing w:line="420" w:lineRule="exact"/>
        <w:ind w:firstLine="482" w:firstLineChars="200"/>
      </w:pPr>
      <w:r>
        <w:rPr>
          <w:b/>
        </w:rPr>
        <w:t>3.</w:t>
      </w:r>
      <w:r>
        <w:rPr>
          <w:rFonts w:hint="eastAsia"/>
          <w:b/>
        </w:rPr>
        <w:t xml:space="preserve"> 业务</w:t>
      </w:r>
      <w:r>
        <w:rPr>
          <w:b/>
        </w:rPr>
        <w:t>（</w:t>
      </w:r>
      <w:r>
        <w:rPr>
          <w:rFonts w:hint="eastAsia"/>
          <w:b/>
        </w:rPr>
        <w:t>项目）参保承诺：</w:t>
      </w:r>
      <w:r>
        <w:rPr>
          <w:rFonts w:hint="eastAsia"/>
        </w:rPr>
        <w:t>响应人</w:t>
      </w:r>
      <w:r>
        <w:rPr>
          <w:rFonts w:hint="eastAsia"/>
          <w:b/>
        </w:rPr>
        <w:t>须承诺:</w:t>
      </w:r>
      <w:r>
        <w:rPr>
          <w:rFonts w:hint="eastAsia"/>
        </w:rPr>
        <w:t>“先参保、再开工”，按《上海市人力资源和社会保障局等十部门关于做好本市工程建设项目参加工伤保险工作的通知》（沪人社规</w:t>
      </w:r>
      <w:r>
        <w:t>[2020]26</w:t>
      </w:r>
      <w:r>
        <w:rPr>
          <w:rFonts w:hint="eastAsia"/>
        </w:rPr>
        <w:t>号）规定在项目开工前至上海市的社会保险经办机构办理参保手续及一次性代缴工伤保险费。</w:t>
      </w:r>
    </w:p>
    <w:p>
      <w:pPr>
        <w:pStyle w:val="26"/>
        <w:spacing w:line="420" w:lineRule="exact"/>
        <w:ind w:firstLine="482"/>
      </w:pPr>
      <w:r>
        <w:rPr>
          <w:b/>
        </w:rPr>
        <w:t>4.</w:t>
      </w:r>
      <w:r>
        <w:rPr>
          <w:rFonts w:hint="eastAsia"/>
          <w:b/>
        </w:rPr>
        <w:t xml:space="preserve"> 绿色施工、</w:t>
      </w:r>
      <w:r>
        <w:rPr>
          <w:b/>
        </w:rPr>
        <w:t>环境保护</w:t>
      </w:r>
      <w:r>
        <w:rPr>
          <w:rFonts w:hint="eastAsia"/>
          <w:b/>
        </w:rPr>
        <w:t>承诺：</w:t>
      </w:r>
      <w:r>
        <w:rPr>
          <w:rFonts w:hint="eastAsia"/>
        </w:rPr>
        <w:t>响应人</w:t>
      </w:r>
      <w:r>
        <w:rPr>
          <w:rFonts w:hint="eastAsia"/>
          <w:b/>
        </w:rPr>
        <w:t>须承诺</w:t>
      </w:r>
      <w:r>
        <w:rPr>
          <w:rFonts w:hint="eastAsia"/>
        </w:rPr>
        <w:t>：施工过程中应遵守《建筑工程绿色施工规范》（GB/T 50905-2014）、施工产生的建筑垃圾进行分类收集，按甲方要求暂存堆放，按《建筑垃圾处理技术标准》CJJ/T134-2019以及《上海市建筑垃圾处理管理规定》规定转运或利用。工程渣土如涉及跨省转移利用的，需提交市绿化市容局等相关行业主管部门备案审核。绿色</w:t>
      </w:r>
      <w:r>
        <w:t>施工</w:t>
      </w:r>
      <w:r>
        <w:rPr>
          <w:rFonts w:hint="eastAsia"/>
        </w:rPr>
        <w:t>按工程部下发</w:t>
      </w:r>
      <w:r>
        <w:t>的</w:t>
      </w:r>
      <w:r>
        <w:rPr>
          <w:rFonts w:hint="eastAsia"/>
        </w:rPr>
        <w:t>《建设工程绿色施工管理细则》，</w:t>
      </w:r>
      <w:r>
        <w:t>做到节约资源，提高</w:t>
      </w:r>
      <w:r>
        <w:rPr>
          <w:rFonts w:hint="eastAsia"/>
        </w:rPr>
        <w:t>能源</w:t>
      </w:r>
      <w:r>
        <w:t>利用率，减少施工活动对环境造成的不利影响</w:t>
      </w:r>
      <w:r>
        <w:rPr>
          <w:rFonts w:hint="eastAsia"/>
        </w:rPr>
        <w:t>。</w:t>
      </w:r>
    </w:p>
    <w:p>
      <w:pPr>
        <w:spacing w:line="420" w:lineRule="exact"/>
        <w:ind w:firstLine="482" w:firstLineChars="200"/>
      </w:pPr>
      <w:r>
        <w:rPr>
          <w:rFonts w:hint="eastAsia"/>
          <w:b/>
        </w:rPr>
        <w:t>5. 分包管理：</w:t>
      </w:r>
      <w:r>
        <w:t>本</w:t>
      </w:r>
      <w:r>
        <w:rPr>
          <w:rFonts w:hint="eastAsia"/>
        </w:rPr>
        <w:t>工程施工项目</w:t>
      </w:r>
      <w:r>
        <w:t>允许分包。</w:t>
      </w:r>
      <w:r>
        <w:rPr>
          <w:rFonts w:hint="eastAsia"/>
        </w:rPr>
        <w:t>响应人</w:t>
      </w:r>
      <w:r>
        <w:rPr>
          <w:rFonts w:hint="eastAsia"/>
          <w:b/>
        </w:rPr>
        <w:t>须承诺</w:t>
      </w:r>
      <w:r>
        <w:rPr>
          <w:rFonts w:hint="eastAsia"/>
          <w:b/>
          <w:color w:val="0000FF"/>
        </w:rPr>
        <w:t>：</w:t>
      </w:r>
      <w:r>
        <w:rPr>
          <w:rFonts w:hint="eastAsia"/>
        </w:rPr>
        <w:t>执行《中国石化建设工程分包管理办法》和《高桥石化建设工程招标及分包管理办法》，按照要求</w:t>
      </w:r>
      <w:r>
        <w:rPr>
          <w:rFonts w:hint="eastAsia"/>
          <w:b/>
        </w:rPr>
        <w:t>提交本工程分包策略</w:t>
      </w:r>
      <w:r>
        <w:rPr>
          <w:rFonts w:hint="eastAsia"/>
        </w:rPr>
        <w:t>及相关资料，同时须签署“合法分包承诺书”</w:t>
      </w:r>
      <w:r>
        <w:rPr>
          <w:rFonts w:hint="eastAsia" w:hAnsiTheme="minorEastAsia" w:eastAsiaTheme="minorEastAsia"/>
          <w:b/>
          <w:bCs/>
          <w:kern w:val="0"/>
        </w:rPr>
        <w:t>（若</w:t>
      </w:r>
      <w:r>
        <w:rPr>
          <w:rFonts w:hint="eastAsia" w:hAnsiTheme="minorEastAsia" w:eastAsiaTheme="minorEastAsia"/>
          <w:b/>
        </w:rPr>
        <w:t>无分包也须明确承诺不分包</w:t>
      </w:r>
      <w:r>
        <w:rPr>
          <w:rFonts w:hint="eastAsia" w:hAnsiTheme="minorEastAsia" w:eastAsiaTheme="minorEastAsia"/>
          <w:b/>
          <w:bCs/>
          <w:kern w:val="0"/>
        </w:rPr>
        <w:t>）</w:t>
      </w:r>
      <w:r>
        <w:rPr>
          <w:rFonts w:hint="eastAsia"/>
        </w:rPr>
        <w:t>。</w:t>
      </w:r>
    </w:p>
    <w:p>
      <w:pPr>
        <w:spacing w:line="420" w:lineRule="exact"/>
        <w:ind w:firstLine="480" w:firstLineChars="200"/>
      </w:pPr>
      <w:r>
        <w:t>允许分包的工程范围：脚手架搭拆、土建等非主体工程</w:t>
      </w:r>
      <w:r>
        <w:rPr>
          <w:rFonts w:hint="eastAsia"/>
        </w:rPr>
        <w:t>。</w:t>
      </w:r>
    </w:p>
    <w:p>
      <w:pPr>
        <w:spacing w:line="420" w:lineRule="exact"/>
        <w:ind w:firstLine="480" w:firstLineChars="200"/>
      </w:pPr>
      <w:r>
        <w:t>分包方式：采用专业工程分包方式；对脚手架工程单独分包时，不得以管理费名义扣减任何费用。</w:t>
      </w:r>
    </w:p>
    <w:p>
      <w:pPr>
        <w:spacing w:line="420" w:lineRule="exact"/>
        <w:ind w:firstLine="480" w:firstLineChars="200"/>
      </w:pPr>
      <w:r>
        <w:t>分包人资质资格要求：具有国家颁发的建筑业企业资质证书，分包发包人负责对其分包方所对应的资质、能力进行审查，分包方必须通过检维修能力评定，且具有同类装置检修业绩。响应</w:t>
      </w:r>
      <w:r>
        <w:rPr>
          <w:rFonts w:hint="eastAsia"/>
        </w:rPr>
        <w:t>人</w:t>
      </w:r>
      <w:r>
        <w:t>保证其分包方均已跟随总包单位在中石化参加检修达3年以上，有良好的施工业绩，在施工质量、安全、诚信等方面满足检修的要求</w:t>
      </w:r>
      <w:r>
        <w:rPr>
          <w:rFonts w:hint="eastAsia"/>
        </w:rPr>
        <w:t>。</w:t>
      </w:r>
      <w:r>
        <w:t>响应</w:t>
      </w:r>
      <w:r>
        <w:rPr>
          <w:rFonts w:hint="eastAsia"/>
        </w:rPr>
        <w:t>人不得选用进入中石化承包商黑名单的分包队伍。</w:t>
      </w:r>
    </w:p>
    <w:p>
      <w:pPr>
        <w:spacing w:line="420" w:lineRule="exact"/>
        <w:ind w:firstLine="480" w:firstLineChars="200"/>
      </w:pPr>
      <w:r>
        <w:t>分包发包方式：公开招标、邀请招标、竞标、竞价、独家谈判等</w:t>
      </w:r>
      <w:r>
        <w:rPr>
          <w:rFonts w:hint="eastAsia"/>
        </w:rPr>
        <w:t>。</w:t>
      </w:r>
    </w:p>
    <w:p>
      <w:pPr>
        <w:spacing w:line="420" w:lineRule="exact"/>
        <w:ind w:firstLine="480" w:firstLineChars="200"/>
      </w:pPr>
      <w:r>
        <w:rPr>
          <w:rFonts w:hint="eastAsia"/>
        </w:rPr>
        <w:t>为确保分包单位的施工和服务质量，总包单位在签订相应分包合同时，要遵循总包单位和邀请方签订总包合同约定的定额取费标准保持不变。</w:t>
      </w:r>
    </w:p>
    <w:p>
      <w:pPr>
        <w:spacing w:line="420" w:lineRule="exact"/>
        <w:ind w:firstLine="482" w:firstLineChars="200"/>
      </w:pPr>
      <w:r>
        <w:rPr>
          <w:b/>
        </w:rPr>
        <w:t>6.</w:t>
      </w:r>
      <w:r>
        <w:rPr>
          <w:rFonts w:hint="eastAsia"/>
          <w:b/>
        </w:rPr>
        <w:t xml:space="preserve"> 脚手架管理：</w:t>
      </w:r>
      <w:r>
        <w:rPr>
          <w:rFonts w:hint="eastAsia"/>
        </w:rPr>
        <w:t>根据邀请人的要求，响应人</w:t>
      </w:r>
      <w:r>
        <w:rPr>
          <w:rFonts w:hint="eastAsia"/>
          <w:b/>
        </w:rPr>
        <w:t>须承诺</w:t>
      </w:r>
      <w:r>
        <w:rPr>
          <w:rFonts w:hint="eastAsia"/>
          <w:b/>
          <w:color w:val="0000FF"/>
        </w:rPr>
        <w:t>：</w:t>
      </w:r>
      <w:r>
        <w:rPr>
          <w:rFonts w:hint="eastAsia"/>
        </w:rPr>
        <w:t>严格按照</w:t>
      </w:r>
      <w:r>
        <w:rPr>
          <w:rFonts w:hint="eastAsia"/>
          <w:b/>
        </w:rPr>
        <w:t>脚手架搭设（拆除）专项方案</w:t>
      </w:r>
      <w:r>
        <w:rPr>
          <w:rFonts w:hint="eastAsia"/>
        </w:rPr>
        <w:t>或</w:t>
      </w:r>
      <w:r>
        <w:rPr>
          <w:rFonts w:hint="eastAsia"/>
          <w:b/>
        </w:rPr>
        <w:t>施工方案（含脚手架搭设）</w:t>
      </w:r>
      <w:r>
        <w:rPr>
          <w:rFonts w:hint="eastAsia"/>
        </w:rPr>
        <w:t>、</w:t>
      </w:r>
      <w:r>
        <w:rPr>
          <w:rFonts w:hint="eastAsia"/>
          <w:b/>
        </w:rPr>
        <w:t>《石油化工工程脚手架搭设安全技术规范》</w:t>
      </w:r>
      <w:r>
        <w:rPr>
          <w:rFonts w:hint="eastAsia"/>
        </w:rPr>
        <w:t>（SH/T3555-2014）和</w:t>
      </w:r>
      <w:r>
        <w:rPr>
          <w:rFonts w:hint="eastAsia"/>
          <w:b/>
        </w:rPr>
        <w:t>《中国石化建设项目脚手架作业指导书》</w:t>
      </w:r>
      <w:r>
        <w:rPr>
          <w:rFonts w:hint="eastAsia"/>
        </w:rPr>
        <w:t>（SEP-HSE-3045-2015）实施搭设作业，且使用前必须进行安全验收</w:t>
      </w:r>
      <w:r>
        <w:rPr>
          <w:rFonts w:hint="eastAsia"/>
          <w:b/>
        </w:rPr>
        <w:t>并挂验收合格的标识牌</w:t>
      </w:r>
      <w:r>
        <w:rPr>
          <w:rFonts w:hint="eastAsia"/>
        </w:rPr>
        <w:t>。脚手架费用须专款专用。</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三、技术要求（技术文件\技术附件\技术标准\技术参数\技术指标等）</w:t>
      </w:r>
      <w:r>
        <w:rPr>
          <w:rFonts w:hint="eastAsia" w:ascii="楷体_GB2312" w:eastAsia="楷体_GB2312" w:hAnsiTheme="minorEastAsia"/>
          <w:b/>
          <w:bCs/>
          <w:kern w:val="0"/>
          <w:sz w:val="28"/>
          <w:szCs w:val="28"/>
        </w:rPr>
        <w:t>【</w:t>
      </w:r>
      <w:r>
        <w:rPr>
          <w:rFonts w:hint="eastAsia" w:ascii="楷体_GB2312" w:eastAsia="楷体_GB2312"/>
          <w:sz w:val="28"/>
          <w:szCs w:val="28"/>
        </w:rPr>
        <w:t>提示：</w:t>
      </w:r>
      <w:r>
        <w:rPr>
          <w:rFonts w:hint="eastAsia" w:ascii="楷体_GB2312" w:eastAsia="楷体_GB2312"/>
          <w:b/>
          <w:sz w:val="28"/>
          <w:szCs w:val="28"/>
        </w:rPr>
        <w:t>可单独以附件形式提供</w:t>
      </w:r>
      <w:r>
        <w:rPr>
          <w:rFonts w:hint="eastAsia" w:ascii="楷体_GB2312" w:eastAsia="楷体_GB2312" w:hAnsiTheme="minorEastAsia"/>
          <w:b/>
          <w:bCs/>
          <w:kern w:val="0"/>
          <w:sz w:val="28"/>
          <w:szCs w:val="28"/>
        </w:rPr>
        <w:t>】</w:t>
      </w:r>
      <w:r>
        <w:rPr>
          <w:rFonts w:hint="eastAsia" w:ascii="楷体_GB2312" w:eastAsia="楷体_GB2312"/>
          <w:b/>
          <w:sz w:val="28"/>
          <w:szCs w:val="28"/>
        </w:rPr>
        <w:t>：/</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四、质量管理响应要求</w:t>
      </w:r>
    </w:p>
    <w:p>
      <w:pPr>
        <w:spacing w:line="420" w:lineRule="exact"/>
        <w:ind w:firstLine="482" w:firstLineChars="200"/>
        <w:rPr>
          <w:b/>
          <w:color w:val="0000FF"/>
        </w:rPr>
      </w:pPr>
      <w:r>
        <w:rPr>
          <w:rFonts w:hint="eastAsia"/>
          <w:b/>
        </w:rPr>
        <w:t>1. 质量管理目标</w:t>
      </w:r>
      <w:r>
        <w:rPr>
          <w:rFonts w:hint="eastAsia"/>
        </w:rPr>
        <w:t>：响应人</w:t>
      </w:r>
      <w:r>
        <w:rPr>
          <w:rFonts w:hint="eastAsia"/>
          <w:b/>
        </w:rPr>
        <w:t>须承诺</w:t>
      </w:r>
      <w:r>
        <w:rPr>
          <w:rFonts w:hint="eastAsia"/>
          <w:b/>
          <w:color w:val="0000FF"/>
        </w:rPr>
        <w:t>：</w:t>
      </w:r>
    </w:p>
    <w:p>
      <w:pPr>
        <w:spacing w:line="420" w:lineRule="exact"/>
        <w:ind w:firstLine="482" w:firstLineChars="200"/>
      </w:pPr>
      <w:r>
        <w:rPr>
          <w:rFonts w:hint="eastAsia"/>
          <w:b/>
        </w:rPr>
        <w:t>2. 质量保证体系：</w:t>
      </w:r>
      <w:r>
        <w:rPr>
          <w:rFonts w:hint="eastAsia"/>
        </w:rPr>
        <w:t>体系完备及达到质量目标具体措施的针对性。</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（1）响应人</w:t>
      </w:r>
      <w:r>
        <w:rPr>
          <w:rFonts w:hAnsiTheme="minorEastAsia" w:eastAsiaTheme="minorEastAsia"/>
        </w:rPr>
        <w:t>必须建立质保体系</w:t>
      </w:r>
      <w:r>
        <w:rPr>
          <w:rFonts w:hint="eastAsia" w:hAnsiTheme="minorEastAsia" w:eastAsiaTheme="minorEastAsia"/>
        </w:rPr>
        <w:t>，落实</w:t>
      </w:r>
      <w:r>
        <w:rPr>
          <w:rFonts w:hAnsiTheme="minorEastAsia" w:eastAsiaTheme="minorEastAsia"/>
        </w:rPr>
        <w:t>质量责任制，并确保体系的正常运作</w:t>
      </w:r>
      <w:r>
        <w:rPr>
          <w:rFonts w:hint="eastAsia" w:hAnsiTheme="minorEastAsia" w:eastAsiaTheme="minorEastAsia"/>
        </w:rPr>
        <w:t>；</w:t>
      </w:r>
      <w:r>
        <w:rPr>
          <w:rFonts w:hAnsiTheme="minorEastAsia" w:eastAsiaTheme="minorEastAsia"/>
        </w:rPr>
        <w:t>必须</w:t>
      </w:r>
      <w:r>
        <w:rPr>
          <w:rFonts w:hint="eastAsia" w:hAnsiTheme="minorEastAsia" w:eastAsiaTheme="minorEastAsia"/>
        </w:rPr>
        <w:t>落实“三检一评”制度</w:t>
      </w:r>
      <w:r>
        <w:rPr>
          <w:rFonts w:hAnsiTheme="minorEastAsia" w:eastAsiaTheme="minorEastAsia"/>
        </w:rPr>
        <w:t>，并对工程质量负责，必须加强施工过程</w:t>
      </w:r>
      <w:r>
        <w:rPr>
          <w:rFonts w:hint="eastAsia" w:hAnsiTheme="minorEastAsia" w:eastAsiaTheme="minorEastAsia"/>
        </w:rPr>
        <w:t>质量</w:t>
      </w:r>
      <w:r>
        <w:rPr>
          <w:rFonts w:hAnsiTheme="minorEastAsia" w:eastAsiaTheme="minorEastAsia"/>
        </w:rPr>
        <w:t>控制和管理。</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2）响应人应执行《中华人民共和国产品质量法》、《中华人民共和国计量法》、《中华人民共和国特种设备安全法》、《中华人民共和国建筑法》、《建设工程质量管理条例》、《特种设备安全监察条例》等国家法律法规，确保质量管理的合规性。</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（3）响应人应执行以下</w:t>
      </w:r>
      <w:r>
        <w:rPr>
          <w:rFonts w:hAnsiTheme="minorEastAsia" w:eastAsiaTheme="minorEastAsia"/>
        </w:rPr>
        <w:t>验收标准</w:t>
      </w:r>
      <w:r>
        <w:rPr>
          <w:rFonts w:hint="eastAsia" w:hAnsiTheme="minorEastAsia" w:eastAsiaTheme="minorEastAsia"/>
        </w:rPr>
        <w:t>及规范：</w:t>
      </w:r>
    </w:p>
    <w:p>
      <w:pPr>
        <w:snapToGrid w:val="0"/>
        <w:spacing w:line="420" w:lineRule="exact"/>
        <w:ind w:firstLine="480" w:firstLineChars="200"/>
        <w:outlineLvl w:val="0"/>
        <w:rPr>
          <w:rFonts w:hAnsiTheme="minorEastAsia" w:eastAsiaTheme="minorEastAsia"/>
        </w:rPr>
      </w:pPr>
      <w:r>
        <w:rPr>
          <w:rFonts w:hAnsiTheme="minorEastAsia" w:eastAsiaTheme="minorEastAsia"/>
        </w:rPr>
        <w:t>中石化《石油化工设备维护检修规程》</w:t>
      </w:r>
    </w:p>
    <w:p>
      <w:pPr>
        <w:snapToGrid w:val="0"/>
        <w:spacing w:line="420" w:lineRule="exact"/>
        <w:ind w:firstLine="480" w:firstLineChars="200"/>
        <w:outlineLvl w:val="0"/>
        <w:rPr>
          <w:rFonts w:hAnsiTheme="minorEastAsia" w:eastAsiaTheme="minorEastAsia"/>
        </w:rPr>
      </w:pPr>
      <w:r>
        <w:rPr>
          <w:rFonts w:hint="eastAsia" w:hAnsiTheme="minorEastAsia" w:eastAsiaTheme="minorEastAsia"/>
        </w:rPr>
        <w:t>合同范围内各专业所涉及的相关</w:t>
      </w:r>
      <w:r>
        <w:rPr>
          <w:rFonts w:hAnsiTheme="minorEastAsia" w:eastAsiaTheme="minorEastAsia"/>
        </w:rPr>
        <w:t>国家、行业现行的安装工程施工技术及</w:t>
      </w:r>
      <w:r>
        <w:rPr>
          <w:rFonts w:hint="eastAsia" w:hAnsiTheme="minorEastAsia" w:eastAsiaTheme="minorEastAsia"/>
        </w:rPr>
        <w:t>质量</w:t>
      </w:r>
      <w:r>
        <w:rPr>
          <w:rFonts w:hAnsiTheme="minorEastAsia" w:eastAsiaTheme="minorEastAsia"/>
        </w:rPr>
        <w:t>验收规范、施工图纸、设备说明书等有关规定（标准不同时按高者为准）。</w:t>
      </w:r>
    </w:p>
    <w:p>
      <w:pPr>
        <w:spacing w:line="420" w:lineRule="exact"/>
        <w:ind w:firstLine="480" w:firstLineChars="200"/>
      </w:pPr>
      <w:r>
        <w:rPr>
          <w:rFonts w:hint="eastAsia" w:hAnsiTheme="minorEastAsia" w:eastAsiaTheme="minorEastAsia"/>
        </w:rPr>
        <w:t>（4）响应人应执行高桥石化</w:t>
      </w:r>
      <w:r>
        <w:rPr>
          <w:rFonts w:hAnsiTheme="minorEastAsia" w:eastAsiaTheme="minorEastAsia"/>
        </w:rPr>
        <w:t>发布的</w:t>
      </w:r>
      <w:r>
        <w:rPr>
          <w:rFonts w:hint="eastAsia" w:hAnsiTheme="minorEastAsia" w:eastAsiaTheme="minorEastAsia"/>
        </w:rPr>
        <w:t>相关技术质量管理</w:t>
      </w:r>
      <w:r>
        <w:rPr>
          <w:rFonts w:hAnsiTheme="minorEastAsia" w:eastAsiaTheme="minorEastAsia"/>
        </w:rPr>
        <w:t>制度、各类检修作业指导书等。</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五、进度要求</w:t>
      </w:r>
    </w:p>
    <w:p>
      <w:pPr>
        <w:pStyle w:val="2"/>
        <w:adjustRightInd w:val="0"/>
        <w:snapToGrid w:val="0"/>
        <w:spacing w:line="420" w:lineRule="exact"/>
        <w:ind w:firstLine="482" w:firstLineChars="200"/>
      </w:pPr>
      <w:r>
        <w:t>见</w:t>
      </w:r>
      <w:r>
        <w:rPr>
          <w:rFonts w:hint="eastAsia"/>
        </w:rPr>
        <w:t>竞争</w:t>
      </w:r>
      <w:r>
        <w:t>性选商</w:t>
      </w:r>
      <w:r>
        <w:rPr>
          <w:rFonts w:hint="eastAsia"/>
        </w:rPr>
        <w:t>公告</w:t>
      </w:r>
      <w:r>
        <w:t>第</w:t>
      </w:r>
      <w:r>
        <w:rPr>
          <w:rFonts w:hint="eastAsia"/>
        </w:rPr>
        <w:t>三</w:t>
      </w:r>
      <w:r>
        <w:t>条相关内容</w:t>
      </w:r>
      <w:r>
        <w:rPr>
          <w:rFonts w:hint="eastAsia"/>
        </w:rPr>
        <w:t>，响应人须作出承诺（实质性响应）。</w:t>
      </w:r>
    </w:p>
    <w:p>
      <w:pPr>
        <w:spacing w:line="420" w:lineRule="exact"/>
        <w:ind w:firstLine="562" w:firstLineChars="200"/>
        <w:rPr>
          <w:rFonts w:ascii="楷体_GB2312" w:eastAsia="楷体_GB2312"/>
          <w:color w:val="0070C0"/>
          <w:sz w:val="28"/>
          <w:szCs w:val="28"/>
        </w:rPr>
      </w:pPr>
      <w:r>
        <w:rPr>
          <w:rFonts w:hint="eastAsia" w:ascii="楷体_GB2312" w:eastAsia="楷体_GB2312"/>
          <w:b/>
          <w:sz w:val="28"/>
          <w:szCs w:val="28"/>
        </w:rPr>
        <w:t>六、响应人拟派出人员资格要求：</w:t>
      </w:r>
    </w:p>
    <w:p>
      <w:pPr>
        <w:adjustRightInd w:val="0"/>
        <w:snapToGrid w:val="0"/>
        <w:spacing w:line="420" w:lineRule="exact"/>
        <w:ind w:firstLine="566" w:firstLineChars="235"/>
      </w:pPr>
      <w:r>
        <w:rPr>
          <w:rFonts w:hint="eastAsia"/>
          <w:b/>
          <w:color w:val="000000" w:themeColor="text1"/>
          <w14:textFill>
            <w14:solidFill>
              <w14:schemeClr w14:val="tx1"/>
            </w14:solidFill>
          </w14:textFill>
        </w:rPr>
        <w:t>业务</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经理</w:t>
      </w:r>
      <w:r>
        <w:rPr>
          <w:rFonts w:hint="eastAsia"/>
          <w:b/>
          <w:color w:val="000000" w:themeColor="text1"/>
          <w14:textFill>
            <w14:solidFill>
              <w14:schemeClr w14:val="tx1"/>
            </w14:solidFill>
          </w14:textFill>
        </w:rPr>
        <w:t>：</w:t>
      </w:r>
    </w:p>
    <w:p>
      <w:pPr>
        <w:adjustRightInd w:val="0"/>
        <w:snapToGrid w:val="0"/>
        <w:spacing w:line="420" w:lineRule="exact"/>
        <w:ind w:left="567"/>
        <w:rPr>
          <w:color w:val="000000" w:themeColor="text1"/>
          <w14:textFill>
            <w14:solidFill>
              <w14:schemeClr w14:val="tx1"/>
            </w14:solidFill>
          </w14:textFill>
        </w:rPr>
      </w:pPr>
      <w:r>
        <w:rPr>
          <w:b/>
          <w:color w:val="000000" w:themeColor="text1"/>
          <w14:textFill>
            <w14:solidFill>
              <w14:schemeClr w14:val="tx1"/>
            </w14:solidFill>
          </w14:textFill>
        </w:rPr>
        <w:t>技术负责人</w:t>
      </w:r>
      <w:r>
        <w:rPr>
          <w:rFonts w:hint="eastAsia"/>
          <w:b/>
          <w:color w:val="000000" w:themeColor="text1"/>
          <w14:textFill>
            <w14:solidFill>
              <w14:schemeClr w14:val="tx1"/>
            </w14:solidFill>
          </w14:textFill>
        </w:rPr>
        <w:t>：</w:t>
      </w:r>
    </w:p>
    <w:p>
      <w:pPr>
        <w:adjustRightInd w:val="0"/>
        <w:snapToGrid w:val="0"/>
        <w:spacing w:line="420" w:lineRule="exact"/>
        <w:ind w:firstLine="566" w:firstLineChars="235"/>
        <w:rPr>
          <w:b/>
          <w:bCs/>
          <w:color w:val="000000" w:themeColor="text1"/>
          <w14:textFill>
            <w14:solidFill>
              <w14:schemeClr w14:val="tx1"/>
            </w14:solidFill>
          </w14:textFill>
        </w:rPr>
      </w:pPr>
      <w:r>
        <w:rPr>
          <w:b/>
          <w:bCs/>
          <w:color w:val="000000" w:themeColor="text1"/>
          <w14:textFill>
            <w14:solidFill>
              <w14:schemeClr w14:val="tx1"/>
            </w14:solidFill>
          </w14:textFill>
        </w:rPr>
        <w:t>安全负责人</w:t>
      </w:r>
      <w:r>
        <w:rPr>
          <w:rFonts w:hint="eastAsia"/>
          <w:b/>
          <w:bCs/>
          <w:color w:val="000000" w:themeColor="text1"/>
          <w14:textFill>
            <w14:solidFill>
              <w14:schemeClr w14:val="tx1"/>
            </w14:solidFill>
          </w14:textFill>
        </w:rPr>
        <w:t>：</w:t>
      </w:r>
    </w:p>
    <w:p>
      <w:pPr>
        <w:adjustRightInd w:val="0"/>
        <w:snapToGrid w:val="0"/>
        <w:spacing w:line="420" w:lineRule="exact"/>
        <w:ind w:firstLine="566" w:firstLineChars="2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质量负责人：</w:t>
      </w:r>
    </w:p>
    <w:p>
      <w:pPr>
        <w:adjustRightInd w:val="0"/>
        <w:snapToGrid w:val="0"/>
        <w:spacing w:line="420" w:lineRule="exact"/>
        <w:ind w:firstLine="566" w:firstLineChars="2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施工负责人：</w:t>
      </w:r>
    </w:p>
    <w:p>
      <w:pPr>
        <w:spacing w:line="420" w:lineRule="exact"/>
        <w:ind w:firstLine="480" w:firstLineChars="200"/>
      </w:pPr>
      <w:r>
        <w:t>1.</w:t>
      </w:r>
      <w:r>
        <w:rPr>
          <w:rFonts w:hint="eastAsia"/>
        </w:rPr>
        <w:t xml:space="preserve"> </w:t>
      </w:r>
      <w:r>
        <w:t>参与施工的人员具备有效的国家法律法规或行业专业要求的相关证书，包括但不仅限于项目负责人、安全负责人、质量负责人、</w:t>
      </w:r>
      <w:r>
        <w:rPr>
          <w:rFonts w:hint="eastAsia"/>
        </w:rPr>
        <w:t>技术负责人、</w:t>
      </w:r>
      <w:r>
        <w:t>施工负责人、电工、焊工、架子工、起重工等相关人员。</w:t>
      </w:r>
    </w:p>
    <w:p>
      <w:pPr>
        <w:spacing w:line="420" w:lineRule="exact"/>
        <w:ind w:firstLine="480" w:firstLineChars="200"/>
      </w:pPr>
      <w:r>
        <w:t>2.</w:t>
      </w:r>
      <w:r>
        <w:rPr>
          <w:rFonts w:hint="eastAsia"/>
        </w:rPr>
        <w:t xml:space="preserve"> </w:t>
      </w:r>
      <w:r>
        <w:t>按国家法律法规为员工缴纳了各项社会保险（包括但不仅限于项目负责人、安全负责人、质量负责人、</w:t>
      </w:r>
      <w:r>
        <w:rPr>
          <w:rFonts w:hint="eastAsia"/>
        </w:rPr>
        <w:t>技术负责人、</w:t>
      </w:r>
      <w:r>
        <w:t>施工负责人）</w:t>
      </w:r>
      <w:r>
        <w:rPr>
          <w:rFonts w:hint="eastAsia"/>
        </w:rPr>
        <w:t>。</w:t>
      </w:r>
    </w:p>
    <w:p>
      <w:pPr>
        <w:spacing w:line="420" w:lineRule="exact"/>
        <w:ind w:firstLine="480" w:firstLineChars="200"/>
      </w:pPr>
      <w:r>
        <w:rPr>
          <w:rFonts w:hint="eastAsia"/>
        </w:rPr>
        <w:t>3</w:t>
      </w:r>
      <w:r>
        <w:t>.</w:t>
      </w:r>
      <w:r>
        <w:rPr>
          <w:rFonts w:hint="eastAsia"/>
        </w:rPr>
        <w:t xml:space="preserve"> </w:t>
      </w:r>
      <w:r>
        <w:t>项目负责人、安全负责人、质量负责人、技术负责人、施工负责人要求有大专及以上学历，有五年以上工作经历。</w:t>
      </w:r>
    </w:p>
    <w:p>
      <w:pPr>
        <w:spacing w:line="420" w:lineRule="exact"/>
        <w:ind w:firstLine="480" w:firstLineChars="200"/>
      </w:pPr>
      <w:r>
        <w:rPr>
          <w:rFonts w:hint="eastAsia"/>
        </w:rPr>
        <w:t xml:space="preserve">4. </w:t>
      </w:r>
      <w:r>
        <w:t>所有参与检修人员年龄符合国家法律</w:t>
      </w:r>
      <w:r>
        <w:rPr>
          <w:rFonts w:hint="eastAsia"/>
        </w:rPr>
        <w:t>法规和中石化相关规定</w:t>
      </w:r>
      <w:r>
        <w:t>。</w:t>
      </w:r>
    </w:p>
    <w:p>
      <w:pPr>
        <w:spacing w:line="420" w:lineRule="exact"/>
        <w:ind w:firstLine="480" w:firstLineChars="200"/>
      </w:pPr>
      <w:r>
        <w:rPr>
          <w:rFonts w:hint="eastAsia"/>
        </w:rPr>
        <w:t xml:space="preserve">5. </w:t>
      </w:r>
      <w:r>
        <w:t>主要管理人员应为自有人员或稳定的劳务派遣人员，劳务派遣人员应与</w:t>
      </w:r>
      <w:r>
        <w:rPr>
          <w:rFonts w:hint="eastAsia"/>
        </w:rPr>
        <w:t>劳务公司</w:t>
      </w:r>
      <w:r>
        <w:t>签订劳动合同并办理社保手续。</w:t>
      </w:r>
    </w:p>
    <w:p>
      <w:pPr>
        <w:spacing w:line="420" w:lineRule="exact"/>
        <w:ind w:firstLine="480" w:firstLineChars="200"/>
      </w:pPr>
      <w:r>
        <w:rPr>
          <w:rFonts w:hint="eastAsia"/>
        </w:rPr>
        <w:t xml:space="preserve">6. </w:t>
      </w:r>
      <w:r>
        <w:t>项目负责人应具有</w:t>
      </w:r>
      <w:r>
        <w:rPr>
          <w:rFonts w:hint="eastAsia"/>
        </w:rPr>
        <w:t>二级及以上</w:t>
      </w:r>
      <w:r>
        <w:t>建造师证书</w:t>
      </w:r>
      <w:r>
        <w:rPr>
          <w:rFonts w:hint="eastAsia"/>
        </w:rPr>
        <w:t>，</w:t>
      </w:r>
      <w:r>
        <w:t>安全负责人应具有政府部门颁发的安全管理员证书</w:t>
      </w:r>
      <w:r>
        <w:rPr>
          <w:rFonts w:hint="eastAsia"/>
        </w:rPr>
        <w:t>，</w:t>
      </w:r>
      <w:r>
        <w:t>特种作业人员应具有政府部门颁发的有效证书。</w:t>
      </w:r>
    </w:p>
    <w:p>
      <w:pPr>
        <w:spacing w:line="420" w:lineRule="exact"/>
        <w:ind w:firstLine="480" w:firstLineChars="200"/>
      </w:pPr>
      <w:r>
        <w:rPr>
          <w:rFonts w:hint="eastAsia"/>
        </w:rPr>
        <w:t xml:space="preserve">7. </w:t>
      </w:r>
      <w:r>
        <w:t>项目负责人、安全负责人、质量负责人、技术负责人、施工负责人不得擅自更换，如确需变更需办理变更手续，征得</w:t>
      </w:r>
      <w:r>
        <w:rPr>
          <w:rFonts w:hint="eastAsia"/>
        </w:rPr>
        <w:t>邀请</w:t>
      </w:r>
      <w:r>
        <w:t>方同意</w:t>
      </w:r>
    </w:p>
    <w:p>
      <w:pPr>
        <w:spacing w:line="420" w:lineRule="exact"/>
        <w:ind w:firstLine="562" w:firstLineChars="200"/>
        <w:rPr>
          <w:b/>
          <w:highlight w:val="yellow"/>
        </w:rPr>
      </w:pPr>
      <w:r>
        <w:rPr>
          <w:rFonts w:hint="eastAsia" w:ascii="楷体_GB2312" w:eastAsia="楷体_GB2312"/>
          <w:b/>
          <w:sz w:val="28"/>
          <w:szCs w:val="28"/>
        </w:rPr>
        <w:t>七、保密要求：</w:t>
      </w:r>
      <w:r>
        <w:t>不论成交与否，</w:t>
      </w:r>
      <w:r>
        <w:rPr>
          <w:rFonts w:hint="eastAsia"/>
        </w:rPr>
        <w:t>响应人</w:t>
      </w:r>
      <w:r>
        <w:t>在10 年内对</w:t>
      </w:r>
      <w:r>
        <w:rPr>
          <w:rFonts w:hint="eastAsia"/>
        </w:rPr>
        <w:t>本次</w:t>
      </w:r>
      <w:r>
        <w:t>竞争性</w:t>
      </w:r>
      <w:r>
        <w:rPr>
          <w:rFonts w:hint="eastAsia"/>
        </w:rPr>
        <w:t>选商</w:t>
      </w:r>
      <w:r>
        <w:t>期间往来资料承担保密责任。</w:t>
      </w:r>
    </w:p>
    <w:p>
      <w:pPr>
        <w:spacing w:line="420" w:lineRule="exact"/>
        <w:ind w:firstLine="562" w:firstLineChars="200"/>
      </w:pPr>
      <w:r>
        <w:rPr>
          <w:rFonts w:hint="eastAsia" w:ascii="楷体_GB2312" w:eastAsia="楷体_GB2312"/>
          <w:b/>
          <w:sz w:val="28"/>
          <w:szCs w:val="28"/>
        </w:rPr>
        <w:t>八、诚信合规要求：</w:t>
      </w:r>
      <w:r>
        <w:rPr>
          <w:rFonts w:hint="eastAsia"/>
        </w:rPr>
        <w:t>近两</w:t>
      </w:r>
      <w:r>
        <w:t>年内受到的行政处罚</w:t>
      </w:r>
      <w:r>
        <w:rPr>
          <w:rFonts w:hint="eastAsia"/>
        </w:rPr>
        <w:t>、作为被告的诉讼案件等合规事项的</w:t>
      </w:r>
      <w:r>
        <w:t>情况说明</w:t>
      </w:r>
      <w:r>
        <w:rPr>
          <w:rFonts w:hint="eastAsia"/>
        </w:rPr>
        <w:t>；响应人</w:t>
      </w:r>
      <w:r>
        <w:rPr>
          <w:rFonts w:hint="eastAsia"/>
          <w:b/>
        </w:rPr>
        <w:t>须承诺</w:t>
      </w:r>
      <w:r>
        <w:rPr>
          <w:rFonts w:hint="eastAsia"/>
        </w:rPr>
        <w:t>：在本次</w:t>
      </w:r>
      <w:r>
        <w:t>响应和</w:t>
      </w:r>
      <w:r>
        <w:rPr>
          <w:rFonts w:hint="eastAsia"/>
        </w:rPr>
        <w:t>若</w:t>
      </w:r>
      <w:r>
        <w:t>成交后的</w:t>
      </w:r>
      <w:r>
        <w:rPr>
          <w:rFonts w:hint="eastAsia"/>
        </w:rPr>
        <w:t>合同签订</w:t>
      </w:r>
      <w:r>
        <w:t>、履行过程中</w:t>
      </w:r>
      <w:r>
        <w:rPr>
          <w:rFonts w:hint="eastAsia"/>
        </w:rPr>
        <w:t>的</w:t>
      </w:r>
      <w:r>
        <w:t>所有</w:t>
      </w:r>
      <w:r>
        <w:rPr>
          <w:rFonts w:hint="eastAsia"/>
        </w:rPr>
        <w:t>行为应符合诚实守信合规的要求，并</w:t>
      </w:r>
      <w:r>
        <w:t>愿意接受</w:t>
      </w:r>
      <w:r>
        <w:rPr>
          <w:rFonts w:hint="eastAsia"/>
        </w:rPr>
        <w:t>邀请人</w:t>
      </w:r>
      <w:r>
        <w:t>的</w:t>
      </w:r>
      <w:r>
        <w:rPr>
          <w:rFonts w:hint="eastAsia"/>
        </w:rPr>
        <w:t>诚信</w:t>
      </w:r>
      <w:r>
        <w:t>合规</w:t>
      </w:r>
      <w:r>
        <w:rPr>
          <w:rFonts w:hint="eastAsia"/>
        </w:rPr>
        <w:t>体系</w:t>
      </w:r>
      <w:r>
        <w:t>考核</w:t>
      </w:r>
      <w:r>
        <w:rPr>
          <w:rFonts w:hint="eastAsia"/>
        </w:rPr>
        <w:t>和</w:t>
      </w:r>
      <w:r>
        <w:t>处理</w:t>
      </w:r>
      <w:r>
        <w:rPr>
          <w:rFonts w:hint="eastAsia"/>
        </w:rPr>
        <w:t>。</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九、合同标的金额及费用结算原则</w:t>
      </w:r>
    </w:p>
    <w:p>
      <w:pPr>
        <w:spacing w:line="420" w:lineRule="exact"/>
        <w:ind w:firstLine="482" w:firstLineChars="200"/>
      </w:pPr>
      <w:r>
        <w:rPr>
          <w:rFonts w:hint="eastAsia"/>
          <w:b/>
        </w:rPr>
        <w:t>1. 报价方式（总价、单价、费率降点等）：</w:t>
      </w:r>
      <w:r>
        <w:rPr>
          <w:rFonts w:hint="eastAsia"/>
        </w:rPr>
        <w:t>费率降点。若发现工程总价上浮的则视为无效报价</w:t>
      </w:r>
      <w:r>
        <w:t>。</w:t>
      </w:r>
    </w:p>
    <w:p>
      <w:pPr>
        <w:spacing w:line="420" w:lineRule="exact"/>
        <w:ind w:firstLine="480" w:firstLineChars="200"/>
        <w:rPr>
          <w:rFonts w:hint="eastAsia" w:eastAsia="宋体"/>
          <w:lang w:eastAsia="zh-CN"/>
        </w:rPr>
      </w:pPr>
      <w:r>
        <w:rPr>
          <w:rFonts w:hint="eastAsia"/>
          <w:color w:val="FF0000"/>
          <w:lang w:eastAsia="zh-CN"/>
        </w:rPr>
        <w:t>设备更新项目</w:t>
      </w:r>
      <w:r>
        <w:rPr>
          <w:rFonts w:hint="eastAsia"/>
          <w:color w:val="FF0000"/>
        </w:rPr>
        <w:t>竣工验收合格，结算资料经甲方审核认可，并按要求提交相应资料后，</w:t>
      </w:r>
      <w:r>
        <w:rPr>
          <w:rFonts w:hint="eastAsia"/>
          <w:color w:val="FF0000"/>
          <w:lang w:eastAsia="zh-CN"/>
        </w:rPr>
        <w:t>分别</w:t>
      </w:r>
      <w:r>
        <w:rPr>
          <w:rFonts w:hint="eastAsia"/>
          <w:color w:val="FF0000"/>
        </w:rPr>
        <w:t>进行项目款结算。</w:t>
      </w:r>
    </w:p>
    <w:p>
      <w:pPr>
        <w:spacing w:line="420" w:lineRule="exact"/>
        <w:ind w:firstLine="482" w:firstLineChars="200"/>
        <w:rPr>
          <w:b/>
        </w:rPr>
      </w:pPr>
      <w:r>
        <w:rPr>
          <w:rFonts w:hint="eastAsia"/>
          <w:b/>
        </w:rPr>
        <w:t>2. 底价（“有”或“无”）：</w:t>
      </w:r>
      <w:r>
        <w:rPr>
          <w:rFonts w:hint="eastAsia"/>
        </w:rPr>
        <w:t>无。</w:t>
      </w:r>
    </w:p>
    <w:p>
      <w:pPr>
        <w:spacing w:line="420" w:lineRule="exact"/>
        <w:ind w:firstLine="482" w:firstLineChars="200"/>
        <w:rPr>
          <w:b/>
        </w:rPr>
      </w:pPr>
      <w:r>
        <w:rPr>
          <w:rFonts w:hint="eastAsia"/>
          <w:b/>
        </w:rPr>
        <w:t>3. 最高响应限价（元，含税）或计算方法：</w:t>
      </w:r>
    </w:p>
    <w:p>
      <w:pPr>
        <w:spacing w:line="420" w:lineRule="exact"/>
        <w:ind w:firstLine="482" w:firstLineChars="200"/>
        <w:rPr>
          <w:b/>
        </w:rPr>
      </w:pPr>
      <w:r>
        <w:rPr>
          <w:rFonts w:hint="eastAsia"/>
          <w:b/>
        </w:rPr>
        <w:t>3.1. 最高响应限价总价：/</w:t>
      </w:r>
    </w:p>
    <w:p>
      <w:pPr>
        <w:spacing w:line="420" w:lineRule="exact"/>
        <w:ind w:firstLine="482" w:firstLineChars="200"/>
        <w:rPr>
          <w:b/>
        </w:rPr>
      </w:pPr>
      <w:r>
        <w:rPr>
          <w:rFonts w:hint="eastAsia"/>
          <w:b/>
        </w:rPr>
        <w:t>3.2. 最高响应限价单价：/</w:t>
      </w:r>
    </w:p>
    <w:p>
      <w:pPr>
        <w:spacing w:line="420" w:lineRule="exact"/>
        <w:ind w:firstLine="482" w:firstLineChars="200"/>
        <w:rPr>
          <w:b/>
        </w:rPr>
      </w:pPr>
      <w:r>
        <w:rPr>
          <w:rFonts w:hint="eastAsia"/>
          <w:b/>
        </w:rPr>
        <w:t>3.3. 最高响应限价计算方法：</w:t>
      </w:r>
      <w:r>
        <w:rPr>
          <w:rFonts w:hint="eastAsia"/>
        </w:rPr>
        <w:t>降点率不低于</w:t>
      </w:r>
      <w:permStart w:id="0" w:edGrp="everyone"/>
      <w:r>
        <w:rPr>
          <w:rFonts w:hint="eastAsia"/>
        </w:rPr>
        <w:t xml:space="preserve"> / </w:t>
      </w:r>
      <w:permEnd w:id="0"/>
      <w:r>
        <w:rPr>
          <w:rFonts w:hint="eastAsia"/>
        </w:rPr>
        <w:t>。</w:t>
      </w:r>
    </w:p>
    <w:p>
      <w:pPr>
        <w:spacing w:line="420" w:lineRule="exact"/>
        <w:ind w:firstLine="482" w:firstLineChars="200"/>
        <w:rPr>
          <w:b/>
        </w:rPr>
      </w:pPr>
      <w:r>
        <w:rPr>
          <w:rFonts w:hint="eastAsia"/>
          <w:b/>
        </w:rPr>
        <w:t>3.4. 最高响应限价计算公式：</w:t>
      </w:r>
      <w:r>
        <w:rPr>
          <w:rFonts w:hint="eastAsia"/>
        </w:rPr>
        <w:t>/</w:t>
      </w:r>
    </w:p>
    <w:p>
      <w:pPr>
        <w:spacing w:line="420" w:lineRule="exact"/>
        <w:ind w:firstLine="562" w:firstLineChars="200"/>
        <w:rPr>
          <w:rFonts w:hint="eastAsia" w:ascii="楷体_GB2312" w:eastAsia="楷体_GB2312"/>
          <w:b/>
          <w:sz w:val="28"/>
          <w:szCs w:val="28"/>
          <w:lang w:eastAsia="zh-CN"/>
        </w:rPr>
      </w:pPr>
      <w:r>
        <w:rPr>
          <w:rFonts w:hint="eastAsia" w:ascii="楷体_GB2312" w:eastAsia="楷体_GB2312"/>
          <w:b/>
          <w:sz w:val="28"/>
          <w:szCs w:val="28"/>
        </w:rPr>
        <w:t>结算原则</w:t>
      </w:r>
      <w:r>
        <w:rPr>
          <w:rFonts w:hint="eastAsia" w:ascii="楷体_GB2312" w:eastAsia="楷体_GB2312"/>
          <w:b/>
          <w:sz w:val="28"/>
          <w:szCs w:val="28"/>
          <w:lang w:eastAsia="zh-CN"/>
        </w:rPr>
        <w:t>：</w:t>
      </w:r>
    </w:p>
    <w:p>
      <w:pPr>
        <w:spacing w:line="420" w:lineRule="exact"/>
        <w:ind w:firstLine="422" w:firstLineChars="200"/>
        <w:rPr>
          <w:rFonts w:hint="eastAsia" w:ascii="楷体_GB2312" w:eastAsia="宋体"/>
          <w:b/>
          <w:sz w:val="28"/>
          <w:szCs w:val="28"/>
          <w:lang w:eastAsia="zh-CN"/>
        </w:rPr>
      </w:pPr>
      <w:r>
        <w:rPr>
          <w:rFonts w:hint="eastAsia" w:ascii="宋体" w:hAnsi="宋体"/>
          <w:b/>
          <w:sz w:val="21"/>
          <w:szCs w:val="21"/>
        </w:rPr>
        <w:t>预(结)算编制依据</w:t>
      </w:r>
      <w:r>
        <w:rPr>
          <w:rFonts w:hint="eastAsia" w:ascii="宋体" w:hAnsi="宋体"/>
          <w:b/>
          <w:sz w:val="21"/>
          <w:szCs w:val="21"/>
          <w:lang w:eastAsia="zh-CN"/>
        </w:rPr>
        <w:t>：</w:t>
      </w:r>
    </w:p>
    <w:p>
      <w:pPr>
        <w:snapToGrid w:val="0"/>
        <w:spacing w:line="320" w:lineRule="exact"/>
        <w:ind w:left="410" w:leftChars="171" w:firstLine="105" w:firstLineChars="50"/>
        <w:rPr>
          <w:rFonts w:ascii="宋体" w:hAnsi="宋体"/>
          <w:snapToGrid w:val="0"/>
          <w:kern w:val="0"/>
          <w:sz w:val="21"/>
          <w:szCs w:val="21"/>
        </w:rPr>
      </w:pPr>
      <w:r>
        <w:rPr>
          <w:rFonts w:hint="eastAsia" w:ascii="宋体" w:hAnsi="宋体"/>
          <w:snapToGrid w:val="0"/>
          <w:kern w:val="0"/>
          <w:sz w:val="21"/>
          <w:szCs w:val="21"/>
        </w:rPr>
        <w:t>1.预（结）算定额：</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检修安装定额执行以下第</w:t>
      </w:r>
      <w:permStart w:id="1" w:edGrp="everyone"/>
      <w:r>
        <w:rPr>
          <w:rFonts w:hint="eastAsia" w:ascii="宋体" w:hAnsi="宋体"/>
          <w:snapToGrid w:val="0"/>
          <w:kern w:val="0"/>
          <w:sz w:val="21"/>
          <w:szCs w:val="21"/>
        </w:rPr>
        <w:t>(1)</w:t>
      </w:r>
      <w:r>
        <w:rPr>
          <w:rFonts w:hint="eastAsia" w:ascii="宋体" w:hAnsi="宋体"/>
          <w:snapToGrid w:val="0"/>
          <w:kern w:val="0"/>
          <w:sz w:val="21"/>
          <w:szCs w:val="21"/>
          <w:lang w:eastAsia="zh-CN"/>
        </w:rPr>
        <w:t>、（</w:t>
      </w:r>
      <w:r>
        <w:rPr>
          <w:rFonts w:hint="eastAsia" w:ascii="宋体" w:hAnsi="宋体"/>
          <w:snapToGrid w:val="0"/>
          <w:kern w:val="0"/>
          <w:sz w:val="21"/>
          <w:szCs w:val="21"/>
          <w:lang w:val="en-US" w:eastAsia="zh-CN"/>
        </w:rPr>
        <w:t>2）</w:t>
      </w:r>
      <w:permEnd w:id="1"/>
      <w:r>
        <w:rPr>
          <w:rFonts w:hint="eastAsia" w:ascii="宋体" w:hAnsi="宋体"/>
          <w:snapToGrid w:val="0"/>
          <w:kern w:val="0"/>
          <w:sz w:val="21"/>
          <w:szCs w:val="21"/>
        </w:rPr>
        <w:t>项规定，定额未及部分双方协商</w:t>
      </w:r>
      <w:r>
        <w:rPr>
          <w:rFonts w:hint="eastAsia" w:ascii="宋体" w:hAnsi="宋体"/>
          <w:sz w:val="21"/>
          <w:szCs w:val="21"/>
        </w:rPr>
        <w:t>确定计算方法</w:t>
      </w:r>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(1)</w:t>
      </w:r>
      <w:permStart w:id="2" w:edGrp="everyone"/>
      <w:r>
        <w:rPr>
          <w:rFonts w:hint="eastAsia" w:ascii="宋体" w:hAnsi="宋体"/>
          <w:spacing w:val="2"/>
          <w:sz w:val="21"/>
          <w:szCs w:val="21"/>
        </w:rPr>
        <w:t>《石油化工行业检修工程预算定额》（2021年版）</w:t>
      </w:r>
      <w:r>
        <w:rPr>
          <w:rFonts w:hint="eastAsia" w:eastAsia="仿宋_GB2312"/>
          <w:sz w:val="21"/>
          <w:szCs w:val="21"/>
        </w:rPr>
        <w:t>、</w:t>
      </w:r>
      <w:r>
        <w:rPr>
          <w:rFonts w:ascii="宋体" w:hAnsi="宋体"/>
          <w:spacing w:val="2"/>
          <w:sz w:val="21"/>
          <w:szCs w:val="21"/>
        </w:rPr>
        <w:t>《石油化工行业检修工程计价规则》（2021年版）</w:t>
      </w:r>
      <w:permEnd w:id="2"/>
      <w:r>
        <w:rPr>
          <w:rFonts w:hint="eastAsia" w:ascii="宋体" w:hAnsi="宋体"/>
          <w:snapToGrid w:val="0"/>
          <w:kern w:val="0"/>
          <w:sz w:val="21"/>
          <w:szCs w:val="21"/>
        </w:rPr>
        <w:t>。</w:t>
      </w:r>
    </w:p>
    <w:p>
      <w:pPr>
        <w:snapToGrid w:val="0"/>
        <w:spacing w:line="320" w:lineRule="exact"/>
        <w:ind w:firstLine="420" w:firstLineChars="200"/>
        <w:rPr>
          <w:rFonts w:hint="default" w:ascii="宋体" w:hAnsi="宋体" w:eastAsia="宋体"/>
          <w:snapToGrid w:val="0"/>
          <w:kern w:val="0"/>
          <w:sz w:val="21"/>
          <w:szCs w:val="21"/>
          <w:lang w:val="en-US" w:eastAsia="zh-CN"/>
        </w:rPr>
      </w:pPr>
      <w:r>
        <w:rPr>
          <w:rFonts w:hint="eastAsia" w:ascii="宋体" w:hAnsi="宋体"/>
          <w:snapToGrid w:val="0"/>
          <w:kern w:val="0"/>
          <w:sz w:val="21"/>
          <w:szCs w:val="21"/>
        </w:rPr>
        <w:t>(</w:t>
      </w:r>
      <w:r>
        <w:rPr>
          <w:rFonts w:hint="eastAsia" w:ascii="宋体" w:hAnsi="宋体"/>
          <w:snapToGrid w:val="0"/>
          <w:kern w:val="0"/>
          <w:sz w:val="21"/>
          <w:szCs w:val="21"/>
          <w:lang w:val="en-US" w:eastAsia="zh-CN"/>
        </w:rPr>
        <w:t>2</w:t>
      </w:r>
      <w:r>
        <w:rPr>
          <w:rFonts w:hint="eastAsia" w:ascii="宋体" w:hAnsi="宋体"/>
          <w:snapToGrid w:val="0"/>
          <w:kern w:val="0"/>
          <w:sz w:val="21"/>
          <w:szCs w:val="21"/>
        </w:rPr>
        <w:t>)</w:t>
      </w:r>
      <w:r>
        <w:rPr>
          <w:rFonts w:hint="eastAsia" w:ascii="宋体" w:hAnsi="宋体"/>
          <w:snapToGrid w:val="0"/>
          <w:kern w:val="0"/>
          <w:sz w:val="21"/>
          <w:szCs w:val="21"/>
          <w:lang w:eastAsia="zh-CN"/>
        </w:rPr>
        <w:t>《</w:t>
      </w:r>
      <w:r>
        <w:rPr>
          <w:rFonts w:hint="eastAsia" w:ascii="宋体" w:hAnsi="宋体"/>
          <w:snapToGrid w:val="0"/>
          <w:kern w:val="0"/>
          <w:sz w:val="21"/>
          <w:szCs w:val="21"/>
        </w:rPr>
        <w:t>高桥石化检维修工程预（结）算计价规定（2023年版）</w:t>
      </w:r>
      <w:r>
        <w:rPr>
          <w:rFonts w:hint="eastAsia" w:ascii="宋体" w:hAnsi="宋体"/>
          <w:snapToGrid w:val="0"/>
          <w:kern w:val="0"/>
          <w:sz w:val="21"/>
          <w:szCs w:val="21"/>
          <w:lang w:eastAsia="zh-CN"/>
        </w:rPr>
        <w:t>》</w:t>
      </w:r>
      <w:r>
        <w:rPr>
          <w:rFonts w:hint="eastAsia" w:ascii="宋体" w:hAnsi="宋体"/>
          <w:snapToGrid w:val="0"/>
          <w:color w:val="auto"/>
          <w:kern w:val="0"/>
          <w:sz w:val="21"/>
          <w:szCs w:val="21"/>
        </w:rPr>
        <w:t>。</w:t>
      </w:r>
      <w:r>
        <w:rPr>
          <w:rFonts w:hint="eastAsia" w:ascii="宋体" w:hAnsi="宋体"/>
          <w:snapToGrid w:val="0"/>
          <w:color w:val="auto"/>
          <w:kern w:val="0"/>
          <w:sz w:val="21"/>
          <w:szCs w:val="21"/>
          <w:lang w:eastAsia="zh-CN"/>
        </w:rPr>
        <w:t>详见附件</w:t>
      </w:r>
      <w:r>
        <w:rPr>
          <w:rFonts w:hint="eastAsia" w:ascii="宋体" w:hAnsi="宋体"/>
          <w:snapToGrid w:val="0"/>
          <w:color w:val="auto"/>
          <w:kern w:val="0"/>
          <w:sz w:val="21"/>
          <w:szCs w:val="21"/>
          <w:lang w:val="en-US" w:eastAsia="zh-CN"/>
        </w:rPr>
        <w:t>10。</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w:t>
      </w:r>
      <w:r>
        <w:rPr>
          <w:rFonts w:hint="eastAsia" w:ascii="宋体" w:hAnsi="宋体"/>
          <w:snapToGrid w:val="0"/>
          <w:kern w:val="0"/>
          <w:sz w:val="21"/>
          <w:szCs w:val="21"/>
          <w:lang w:val="en-US" w:eastAsia="zh-CN"/>
        </w:rPr>
        <w:t>3</w:t>
      </w:r>
      <w:r>
        <w:rPr>
          <w:rFonts w:hint="eastAsia" w:ascii="宋体" w:hAnsi="宋体"/>
          <w:snapToGrid w:val="0"/>
          <w:kern w:val="0"/>
          <w:sz w:val="21"/>
          <w:szCs w:val="21"/>
        </w:rPr>
        <w:t>)投标报价文件为计价依据，由于项目变化引起的工作量增减，增减部分按原投标报价文件作为计价依据。</w:t>
      </w:r>
    </w:p>
    <w:p>
      <w:pPr>
        <w:snapToGrid w:val="0"/>
        <w:spacing w:line="320" w:lineRule="exact"/>
        <w:ind w:firstLine="420" w:firstLineChars="200"/>
        <w:rPr>
          <w:rFonts w:hint="eastAsia" w:ascii="宋体" w:hAnsi="宋体" w:eastAsia="宋体"/>
          <w:sz w:val="21"/>
          <w:szCs w:val="21"/>
          <w:lang w:eastAsia="zh-CN"/>
        </w:rPr>
      </w:pPr>
      <w:r>
        <w:rPr>
          <w:rFonts w:hint="eastAsia" w:ascii="宋体" w:hAnsi="宋体"/>
          <w:snapToGrid w:val="0"/>
          <w:kern w:val="0"/>
          <w:sz w:val="21"/>
          <w:szCs w:val="21"/>
        </w:rPr>
        <w:t>(</w:t>
      </w:r>
      <w:r>
        <w:rPr>
          <w:rFonts w:hint="eastAsia" w:ascii="宋体" w:hAnsi="宋体"/>
          <w:snapToGrid w:val="0"/>
          <w:kern w:val="0"/>
          <w:sz w:val="21"/>
          <w:szCs w:val="21"/>
          <w:lang w:val="en-US" w:eastAsia="zh-CN"/>
        </w:rPr>
        <w:t>4</w:t>
      </w:r>
      <w:r>
        <w:rPr>
          <w:rFonts w:hint="eastAsia" w:ascii="宋体" w:hAnsi="宋体"/>
          <w:snapToGrid w:val="0"/>
          <w:kern w:val="0"/>
          <w:sz w:val="21"/>
          <w:szCs w:val="21"/>
        </w:rPr>
        <w:t>)双方协商</w:t>
      </w:r>
      <w:r>
        <w:rPr>
          <w:rFonts w:hint="eastAsia" w:ascii="宋体" w:hAnsi="宋体" w:cs="Times New Roman"/>
          <w:snapToGrid w:val="0"/>
          <w:kern w:val="0"/>
          <w:sz w:val="21"/>
          <w:szCs w:val="21"/>
        </w:rPr>
        <w:t>价</w:t>
      </w:r>
      <w:r>
        <w:rPr>
          <w:rFonts w:hint="eastAsia" w:ascii="宋体" w:hAnsi="宋体" w:cs="Times New Roman"/>
          <w:snapToGrid w:val="0"/>
          <w:kern w:val="0"/>
          <w:sz w:val="21"/>
          <w:szCs w:val="21"/>
          <w:lang w:eastAsia="zh-CN"/>
        </w:rPr>
        <w:t>。</w:t>
      </w:r>
    </w:p>
    <w:p>
      <w:pPr>
        <w:snapToGrid w:val="0"/>
        <w:spacing w:line="320" w:lineRule="exact"/>
        <w:ind w:firstLine="420" w:firstLineChars="200"/>
        <w:rPr>
          <w:rFonts w:ascii="宋体" w:hAnsi="宋体"/>
          <w:snapToGrid w:val="0"/>
          <w:kern w:val="0"/>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)其他：</w:t>
      </w:r>
      <w:permStart w:id="3" w:edGrp="everyone"/>
      <w:r>
        <w:rPr>
          <w:rFonts w:hint="eastAsia" w:ascii="宋体" w:hAnsi="宋体"/>
          <w:sz w:val="21"/>
          <w:szCs w:val="21"/>
        </w:rPr>
        <w:t>/</w:t>
      </w:r>
      <w:permEnd w:id="3"/>
      <w:r>
        <w:rPr>
          <w:rFonts w:hint="eastAsia" w:ascii="宋体" w:hAnsi="宋体"/>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土建定额执行以下第</w:t>
      </w:r>
      <w:permStart w:id="4" w:edGrp="everyone"/>
      <w:r>
        <w:rPr>
          <w:rFonts w:hint="eastAsia" w:ascii="宋体" w:hAnsi="宋体"/>
          <w:snapToGrid w:val="0"/>
          <w:kern w:val="0"/>
          <w:sz w:val="21"/>
          <w:szCs w:val="21"/>
        </w:rPr>
        <w:t>(1)</w:t>
      </w:r>
      <w:r>
        <w:rPr>
          <w:rFonts w:hint="eastAsia" w:ascii="宋体" w:hAnsi="宋体"/>
          <w:snapToGrid w:val="0"/>
          <w:kern w:val="0"/>
          <w:sz w:val="21"/>
          <w:szCs w:val="21"/>
          <w:lang w:eastAsia="zh-CN"/>
        </w:rPr>
        <w:t>、（</w:t>
      </w:r>
      <w:r>
        <w:rPr>
          <w:rFonts w:hint="eastAsia" w:ascii="宋体" w:hAnsi="宋体"/>
          <w:snapToGrid w:val="0"/>
          <w:kern w:val="0"/>
          <w:sz w:val="21"/>
          <w:szCs w:val="21"/>
          <w:lang w:val="en-US" w:eastAsia="zh-CN"/>
        </w:rPr>
        <w:t>2</w:t>
      </w:r>
      <w:r>
        <w:rPr>
          <w:rFonts w:hint="eastAsia" w:ascii="宋体" w:hAnsi="宋体"/>
          <w:snapToGrid w:val="0"/>
          <w:kern w:val="0"/>
          <w:sz w:val="21"/>
          <w:szCs w:val="21"/>
          <w:lang w:eastAsia="zh-CN"/>
        </w:rPr>
        <w:t>）、（</w:t>
      </w:r>
      <w:r>
        <w:rPr>
          <w:rFonts w:hint="eastAsia" w:ascii="宋体" w:hAnsi="宋体"/>
          <w:snapToGrid w:val="0"/>
          <w:kern w:val="0"/>
          <w:sz w:val="21"/>
          <w:szCs w:val="21"/>
          <w:lang w:val="en-US" w:eastAsia="zh-CN"/>
        </w:rPr>
        <w:t>3</w:t>
      </w:r>
      <w:r>
        <w:rPr>
          <w:rFonts w:hint="eastAsia" w:ascii="宋体" w:hAnsi="宋体"/>
          <w:snapToGrid w:val="0"/>
          <w:kern w:val="0"/>
          <w:sz w:val="21"/>
          <w:szCs w:val="21"/>
          <w:lang w:eastAsia="zh-CN"/>
        </w:rPr>
        <w:t>）</w:t>
      </w:r>
      <w:permEnd w:id="4"/>
      <w:r>
        <w:rPr>
          <w:rFonts w:hint="eastAsia" w:ascii="宋体" w:hAnsi="宋体"/>
          <w:snapToGrid w:val="0"/>
          <w:kern w:val="0"/>
          <w:sz w:val="21"/>
          <w:szCs w:val="21"/>
        </w:rPr>
        <w:t>项规定，定额未及部分双方协商</w:t>
      </w:r>
      <w:r>
        <w:rPr>
          <w:rFonts w:hint="eastAsia" w:ascii="宋体" w:hAnsi="宋体"/>
          <w:sz w:val="21"/>
          <w:szCs w:val="21"/>
        </w:rPr>
        <w:t>确定计算方法</w:t>
      </w:r>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(1)</w:t>
      </w:r>
      <w:permStart w:id="5" w:edGrp="everyone"/>
      <w:r>
        <w:rPr>
          <w:rFonts w:ascii="宋体" w:hAnsi="宋体"/>
          <w:snapToGrid w:val="0"/>
          <w:kern w:val="0"/>
          <w:sz w:val="21"/>
          <w:szCs w:val="21"/>
        </w:rPr>
        <w:t>《上海市建筑</w:t>
      </w:r>
      <w:r>
        <w:rPr>
          <w:rFonts w:hint="eastAsia" w:ascii="宋体" w:hAnsi="宋体"/>
          <w:snapToGrid w:val="0"/>
          <w:kern w:val="0"/>
          <w:sz w:val="21"/>
          <w:szCs w:val="21"/>
        </w:rPr>
        <w:t>和</w:t>
      </w:r>
      <w:r>
        <w:rPr>
          <w:rFonts w:ascii="宋体" w:hAnsi="宋体"/>
          <w:snapToGrid w:val="0"/>
          <w:kern w:val="0"/>
          <w:sz w:val="21"/>
          <w:szCs w:val="21"/>
        </w:rPr>
        <w:t>装饰工程预算定额》（20</w:t>
      </w:r>
      <w:r>
        <w:rPr>
          <w:rFonts w:hint="eastAsia" w:ascii="宋体" w:hAnsi="宋体"/>
          <w:snapToGrid w:val="0"/>
          <w:kern w:val="0"/>
          <w:sz w:val="21"/>
          <w:szCs w:val="21"/>
        </w:rPr>
        <w:t>16</w:t>
      </w:r>
      <w:r>
        <w:rPr>
          <w:rFonts w:ascii="宋体" w:hAnsi="宋体"/>
          <w:snapToGrid w:val="0"/>
          <w:kern w:val="0"/>
          <w:sz w:val="21"/>
          <w:szCs w:val="21"/>
        </w:rPr>
        <w:t>版）</w:t>
      </w:r>
      <w:r>
        <w:rPr>
          <w:rFonts w:hint="eastAsia" w:ascii="宋体" w:hAnsi="宋体"/>
          <w:sz w:val="21"/>
          <w:szCs w:val="21"/>
        </w:rPr>
        <w:t>、</w:t>
      </w:r>
      <w:r>
        <w:rPr>
          <w:rFonts w:hint="eastAsia" w:asciiTheme="minorEastAsia" w:hAnsiTheme="minorEastAsia" w:eastAsiaTheme="minorEastAsia"/>
          <w:sz w:val="21"/>
          <w:szCs w:val="21"/>
        </w:rPr>
        <w:t>沪建标定（2019）176号</w:t>
      </w:r>
      <w:r>
        <w:rPr>
          <w:rFonts w:hint="eastAsia" w:ascii="宋体" w:hAnsi="宋体"/>
          <w:snapToGrid w:val="0"/>
          <w:kern w:val="0"/>
          <w:sz w:val="21"/>
          <w:szCs w:val="21"/>
        </w:rPr>
        <w:t>《关于做好增值税税率调整后本市建设工程计价依据调整工作的通知》及现行有关规定</w:t>
      </w:r>
      <w:permEnd w:id="5"/>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(2)</w:t>
      </w:r>
      <w:permStart w:id="6" w:edGrp="everyone"/>
      <w:r>
        <w:rPr>
          <w:rFonts w:hint="eastAsia" w:asciiTheme="minorEastAsia" w:hAnsiTheme="minorEastAsia" w:eastAsiaTheme="minorEastAsia"/>
          <w:sz w:val="21"/>
          <w:szCs w:val="21"/>
        </w:rPr>
        <w:t>《上海市房屋建筑工程养护维修预算定额》（2016）、沪建标定（2019）176号</w:t>
      </w:r>
      <w:r>
        <w:rPr>
          <w:rFonts w:hint="eastAsia" w:ascii="宋体" w:hAnsi="宋体"/>
          <w:snapToGrid w:val="0"/>
          <w:kern w:val="0"/>
          <w:sz w:val="21"/>
          <w:szCs w:val="21"/>
        </w:rPr>
        <w:t>《关于做好增值税税率调整后本市建设工程计价依据调整工作的通知》及现行有关规定</w:t>
      </w:r>
      <w:permEnd w:id="6"/>
      <w:r>
        <w:rPr>
          <w:rFonts w:hint="eastAsia" w:cs="Arial" w:asciiTheme="minorEastAsia" w:hAnsiTheme="minorEastAsia" w:eastAsiaTheme="minorEastAsia"/>
          <w:sz w:val="21"/>
          <w:szCs w:val="21"/>
        </w:rPr>
        <w:t>。</w:t>
      </w:r>
    </w:p>
    <w:p>
      <w:pPr>
        <w:snapToGrid w:val="0"/>
        <w:spacing w:line="320" w:lineRule="exact"/>
        <w:ind w:firstLine="420" w:firstLineChars="200"/>
        <w:rPr>
          <w:rFonts w:hint="default" w:ascii="宋体" w:hAnsi="宋体" w:eastAsia="宋体"/>
          <w:snapToGrid w:val="0"/>
          <w:kern w:val="0"/>
          <w:sz w:val="21"/>
          <w:szCs w:val="21"/>
          <w:lang w:val="en-US" w:eastAsia="zh-CN"/>
        </w:rPr>
      </w:pPr>
      <w:r>
        <w:rPr>
          <w:rFonts w:hint="eastAsia" w:ascii="宋体" w:hAnsi="宋体"/>
          <w:snapToGrid w:val="0"/>
          <w:kern w:val="0"/>
          <w:sz w:val="21"/>
          <w:szCs w:val="21"/>
        </w:rPr>
        <w:t>(3)</w:t>
      </w:r>
      <w:r>
        <w:rPr>
          <w:rFonts w:hint="eastAsia" w:ascii="宋体" w:hAnsi="宋体"/>
          <w:snapToGrid w:val="0"/>
          <w:kern w:val="0"/>
          <w:sz w:val="21"/>
          <w:szCs w:val="21"/>
          <w:lang w:eastAsia="zh-CN"/>
        </w:rPr>
        <w:t>《</w:t>
      </w:r>
      <w:r>
        <w:rPr>
          <w:rFonts w:hint="eastAsia" w:ascii="宋体" w:hAnsi="宋体"/>
          <w:snapToGrid w:val="0"/>
          <w:kern w:val="0"/>
          <w:sz w:val="21"/>
          <w:szCs w:val="21"/>
        </w:rPr>
        <w:t>高桥石化检维修工程预（结）算计价规定（2023年版）</w:t>
      </w:r>
      <w:r>
        <w:rPr>
          <w:rFonts w:hint="eastAsia" w:ascii="宋体" w:hAnsi="宋体"/>
          <w:snapToGrid w:val="0"/>
          <w:kern w:val="0"/>
          <w:sz w:val="21"/>
          <w:szCs w:val="21"/>
          <w:lang w:eastAsia="zh-CN"/>
        </w:rPr>
        <w:t>》</w:t>
      </w:r>
      <w:r>
        <w:rPr>
          <w:rFonts w:hint="eastAsia" w:ascii="宋体" w:hAnsi="宋体"/>
          <w:snapToGrid w:val="0"/>
          <w:color w:val="auto"/>
          <w:kern w:val="0"/>
          <w:sz w:val="21"/>
          <w:szCs w:val="21"/>
        </w:rPr>
        <w:t>。</w:t>
      </w:r>
      <w:r>
        <w:rPr>
          <w:rFonts w:hint="eastAsia" w:ascii="宋体" w:hAnsi="宋体"/>
          <w:snapToGrid w:val="0"/>
          <w:color w:val="auto"/>
          <w:kern w:val="0"/>
          <w:sz w:val="21"/>
          <w:szCs w:val="21"/>
          <w:lang w:eastAsia="zh-CN"/>
        </w:rPr>
        <w:t>详见附件</w:t>
      </w:r>
      <w:r>
        <w:rPr>
          <w:rFonts w:hint="eastAsia" w:ascii="宋体" w:hAnsi="宋体"/>
          <w:snapToGrid w:val="0"/>
          <w:color w:val="auto"/>
          <w:kern w:val="0"/>
          <w:sz w:val="21"/>
          <w:szCs w:val="21"/>
          <w:lang w:val="en-US" w:eastAsia="zh-CN"/>
        </w:rPr>
        <w:t>10。</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(4)投标报价文件为计价依据，由于项目变化引起的工作量增减，增减部分按原投标报价文件作为计价依据。</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(5)双方协商价。</w:t>
      </w:r>
    </w:p>
    <w:p>
      <w:pPr>
        <w:snapToGrid w:val="0"/>
        <w:spacing w:line="320" w:lineRule="exact"/>
        <w:ind w:firstLine="420" w:firstLineChars="200"/>
        <w:rPr>
          <w:rFonts w:ascii="宋体" w:hAnsi="宋体"/>
          <w:snapToGrid w:val="0"/>
          <w:kern w:val="0"/>
          <w:sz w:val="21"/>
          <w:szCs w:val="21"/>
        </w:rPr>
      </w:pPr>
      <w:r>
        <w:rPr>
          <w:rFonts w:hint="eastAsia" w:ascii="宋体" w:hAnsi="宋体"/>
          <w:sz w:val="21"/>
          <w:szCs w:val="21"/>
        </w:rPr>
        <w:t>(6)其他：</w:t>
      </w:r>
      <w:permStart w:id="7" w:edGrp="everyone"/>
      <w:r>
        <w:rPr>
          <w:rFonts w:hint="eastAsia" w:ascii="宋体" w:hAnsi="宋体"/>
          <w:sz w:val="21"/>
          <w:szCs w:val="21"/>
        </w:rPr>
        <w:t>/</w:t>
      </w:r>
      <w:permEnd w:id="7"/>
      <w:r>
        <w:rPr>
          <w:rFonts w:hint="eastAsia" w:ascii="宋体" w:hAnsi="宋体"/>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其他：</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2.定额取费执行以下第</w:t>
      </w:r>
      <w:permStart w:id="8" w:edGrp="everyone"/>
      <w:r>
        <w:rPr>
          <w:rFonts w:hint="eastAsia" w:ascii="宋体" w:hAnsi="宋体"/>
          <w:snapToGrid w:val="0"/>
          <w:kern w:val="0"/>
          <w:sz w:val="21"/>
          <w:szCs w:val="21"/>
        </w:rPr>
        <w:t>(1)、(2)、(3)、(4)、(5)</w:t>
      </w:r>
      <w:permEnd w:id="8"/>
      <w:r>
        <w:rPr>
          <w:rFonts w:hint="eastAsia" w:ascii="宋体" w:hAnsi="宋体"/>
          <w:snapToGrid w:val="0"/>
          <w:kern w:val="0"/>
          <w:sz w:val="21"/>
          <w:szCs w:val="21"/>
        </w:rPr>
        <w:t>项规定：</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(1)采用</w:t>
      </w:r>
      <w:permStart w:id="9" w:edGrp="everyone"/>
      <w:r>
        <w:rPr>
          <w:rFonts w:hint="eastAsia" w:ascii="宋体" w:hAnsi="宋体"/>
          <w:snapToGrid w:val="0"/>
          <w:kern w:val="0"/>
          <w:sz w:val="21"/>
          <w:szCs w:val="21"/>
        </w:rPr>
        <w:t>《石油化工行业检修工程预算定额》(2021年版)</w:t>
      </w:r>
      <w:permEnd w:id="9"/>
      <w:r>
        <w:rPr>
          <w:rFonts w:hint="eastAsia" w:ascii="宋体" w:hAnsi="宋体"/>
          <w:snapToGrid w:val="0"/>
          <w:kern w:val="0"/>
          <w:sz w:val="21"/>
          <w:szCs w:val="21"/>
        </w:rPr>
        <w:t>，执行定额</w:t>
      </w:r>
      <w:permStart w:id="10" w:edGrp="everyone"/>
      <w:r>
        <w:rPr>
          <w:rFonts w:hint="eastAsia" w:ascii="宋体" w:hAnsi="宋体"/>
          <w:snapToGrid w:val="0"/>
          <w:kern w:val="0"/>
          <w:sz w:val="21"/>
          <w:szCs w:val="21"/>
        </w:rPr>
        <w:t>《检修工程费项目组成及取费规定》</w:t>
      </w:r>
      <w:permEnd w:id="10"/>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color w:val="FF0000"/>
          <w:kern w:val="0"/>
          <w:sz w:val="21"/>
          <w:szCs w:val="21"/>
        </w:rPr>
      </w:pPr>
      <w:r>
        <w:rPr>
          <w:rFonts w:hint="eastAsia" w:ascii="宋体" w:hAnsi="宋体"/>
          <w:snapToGrid w:val="0"/>
          <w:kern w:val="0"/>
          <w:sz w:val="21"/>
          <w:szCs w:val="21"/>
        </w:rPr>
        <w:t>(2)采用</w:t>
      </w:r>
      <w:permStart w:id="11" w:edGrp="everyone"/>
      <w:r>
        <w:rPr>
          <w:rFonts w:hint="eastAsia" w:ascii="宋体" w:hAnsi="宋体"/>
          <w:snapToGrid w:val="0"/>
          <w:kern w:val="0"/>
          <w:sz w:val="21"/>
          <w:szCs w:val="21"/>
        </w:rPr>
        <w:t>《上海市安装工程预算定额》(2016)、</w:t>
      </w:r>
      <w:r>
        <w:rPr>
          <w:rFonts w:ascii="宋体" w:hAnsi="宋体"/>
          <w:snapToGrid w:val="0"/>
          <w:kern w:val="0"/>
          <w:sz w:val="21"/>
          <w:szCs w:val="21"/>
        </w:rPr>
        <w:t>《上海市建筑</w:t>
      </w:r>
      <w:r>
        <w:rPr>
          <w:rFonts w:hint="eastAsia" w:ascii="宋体" w:hAnsi="宋体"/>
          <w:snapToGrid w:val="0"/>
          <w:kern w:val="0"/>
          <w:sz w:val="21"/>
          <w:szCs w:val="21"/>
        </w:rPr>
        <w:t>和</w:t>
      </w:r>
      <w:r>
        <w:rPr>
          <w:rFonts w:ascii="宋体" w:hAnsi="宋体"/>
          <w:snapToGrid w:val="0"/>
          <w:kern w:val="0"/>
          <w:sz w:val="21"/>
          <w:szCs w:val="21"/>
        </w:rPr>
        <w:t>装饰工程预算定额》（20</w:t>
      </w:r>
      <w:r>
        <w:rPr>
          <w:rFonts w:hint="eastAsia" w:ascii="宋体" w:hAnsi="宋体"/>
          <w:snapToGrid w:val="0"/>
          <w:kern w:val="0"/>
          <w:sz w:val="21"/>
          <w:szCs w:val="21"/>
        </w:rPr>
        <w:t>16</w:t>
      </w:r>
      <w:r>
        <w:rPr>
          <w:rFonts w:ascii="宋体" w:hAnsi="宋体"/>
          <w:snapToGrid w:val="0"/>
          <w:kern w:val="0"/>
          <w:sz w:val="21"/>
          <w:szCs w:val="21"/>
        </w:rPr>
        <w:t>）</w:t>
      </w:r>
      <w:r>
        <w:rPr>
          <w:rFonts w:hint="eastAsia" w:ascii="宋体" w:hAnsi="宋体"/>
          <w:snapToGrid w:val="0"/>
          <w:kern w:val="0"/>
          <w:sz w:val="21"/>
          <w:szCs w:val="21"/>
        </w:rPr>
        <w:t>、</w:t>
      </w:r>
      <w:r>
        <w:rPr>
          <w:rFonts w:hint="eastAsia" w:asciiTheme="minorEastAsia" w:hAnsiTheme="minorEastAsia" w:eastAsiaTheme="minorEastAsia"/>
          <w:sz w:val="21"/>
          <w:szCs w:val="21"/>
        </w:rPr>
        <w:t>上海市房屋建筑工程养护维修预算定额》（2016）</w:t>
      </w:r>
      <w:r>
        <w:rPr>
          <w:rFonts w:hint="eastAsia" w:ascii="宋体" w:hAnsi="宋体"/>
          <w:snapToGrid w:val="0"/>
          <w:kern w:val="0"/>
          <w:sz w:val="21"/>
          <w:szCs w:val="21"/>
        </w:rPr>
        <w:t>，综合人工单价为1</w:t>
      </w:r>
      <w:r>
        <w:rPr>
          <w:rFonts w:hint="eastAsia" w:ascii="宋体" w:hAnsi="宋体"/>
          <w:snapToGrid w:val="0"/>
          <w:kern w:val="0"/>
          <w:sz w:val="21"/>
          <w:szCs w:val="21"/>
          <w:lang w:val="en-US" w:eastAsia="zh-CN"/>
        </w:rPr>
        <w:t>36</w:t>
      </w:r>
      <w:r>
        <w:rPr>
          <w:rFonts w:hint="eastAsia" w:ascii="宋体" w:hAnsi="宋体"/>
          <w:snapToGrid w:val="0"/>
          <w:kern w:val="0"/>
          <w:sz w:val="21"/>
          <w:szCs w:val="21"/>
        </w:rPr>
        <w:t>元/工日，工程费用计取：安装工程的</w:t>
      </w:r>
      <w:r>
        <w:rPr>
          <w:rFonts w:hint="eastAsia" w:asciiTheme="minorEastAsia" w:hAnsiTheme="minorEastAsia" w:eastAsiaTheme="minorEastAsia"/>
          <w:sz w:val="21"/>
          <w:szCs w:val="21"/>
        </w:rPr>
        <w:t>企业管理费和利润费率为32.33%</w:t>
      </w:r>
      <w:r>
        <w:rPr>
          <w:rFonts w:hint="eastAsia" w:ascii="宋体" w:hAnsi="宋体"/>
          <w:snapToGrid w:val="0"/>
          <w:kern w:val="0"/>
          <w:sz w:val="21"/>
          <w:szCs w:val="21"/>
        </w:rPr>
        <w:t>，建筑和装饰工程的</w:t>
      </w:r>
      <w:r>
        <w:rPr>
          <w:rFonts w:hint="eastAsia" w:asciiTheme="minorEastAsia" w:hAnsiTheme="minorEastAsia" w:eastAsiaTheme="minorEastAsia"/>
          <w:sz w:val="21"/>
          <w:szCs w:val="21"/>
        </w:rPr>
        <w:t>企业管理费和利润费率为20.78%</w:t>
      </w:r>
      <w:r>
        <w:rPr>
          <w:rFonts w:hint="eastAsia" w:ascii="宋体" w:hAnsi="宋体"/>
          <w:snapToGrid w:val="0"/>
          <w:kern w:val="0"/>
          <w:sz w:val="21"/>
          <w:szCs w:val="21"/>
        </w:rPr>
        <w:t>，</w:t>
      </w:r>
      <w:r>
        <w:rPr>
          <w:rFonts w:ascii="宋体" w:hAnsi="宋体" w:cs="Arial"/>
          <w:bCs/>
          <w:sz w:val="21"/>
          <w:szCs w:val="21"/>
        </w:rPr>
        <w:t>房屋修缮</w:t>
      </w:r>
      <w:r>
        <w:rPr>
          <w:rFonts w:hint="eastAsia" w:ascii="宋体" w:hAnsi="宋体"/>
          <w:snapToGrid w:val="0"/>
          <w:kern w:val="0"/>
          <w:sz w:val="21"/>
          <w:szCs w:val="21"/>
        </w:rPr>
        <w:t>工程的</w:t>
      </w:r>
      <w:r>
        <w:rPr>
          <w:rFonts w:hint="eastAsia" w:asciiTheme="minorEastAsia" w:hAnsiTheme="minorEastAsia" w:eastAsiaTheme="minorEastAsia"/>
          <w:sz w:val="21"/>
          <w:szCs w:val="21"/>
        </w:rPr>
        <w:t>企业管理费和利润费率为</w:t>
      </w:r>
      <w:r>
        <w:rPr>
          <w:rFonts w:hint="eastAsia" w:ascii="宋体" w:hAnsi="宋体"/>
          <w:sz w:val="21"/>
          <w:szCs w:val="21"/>
        </w:rPr>
        <w:t>23.16</w:t>
      </w:r>
      <w:r>
        <w:rPr>
          <w:rFonts w:hint="eastAsia" w:asciiTheme="minorEastAsia" w:hAnsiTheme="minorEastAsia" w:eastAsiaTheme="minorEastAsia"/>
          <w:sz w:val="21"/>
          <w:szCs w:val="21"/>
        </w:rPr>
        <w:t>%</w:t>
      </w:r>
      <w:r>
        <w:rPr>
          <w:rFonts w:hint="eastAsia" w:ascii="宋体" w:hAnsi="宋体"/>
          <w:snapToGrid w:val="0"/>
          <w:kern w:val="0"/>
          <w:sz w:val="21"/>
          <w:szCs w:val="21"/>
        </w:rPr>
        <w:t>，</w:t>
      </w:r>
      <w:r>
        <w:rPr>
          <w:rFonts w:hint="eastAsia" w:asciiTheme="minorEastAsia" w:hAnsiTheme="minorEastAsia" w:eastAsiaTheme="minorEastAsia"/>
          <w:sz w:val="21"/>
          <w:szCs w:val="21"/>
        </w:rPr>
        <w:t>社会保险费费率</w:t>
      </w:r>
      <w:r>
        <w:rPr>
          <w:rFonts w:ascii="宋体" w:hAnsi="宋体"/>
          <w:spacing w:val="2"/>
          <w:sz w:val="21"/>
          <w:szCs w:val="21"/>
        </w:rPr>
        <w:t>按上海市规定计取</w:t>
      </w:r>
      <w:permEnd w:id="11"/>
      <w:r>
        <w:rPr>
          <w:rFonts w:hint="eastAsia" w:ascii="宋体" w:hAnsi="宋体"/>
          <w:snapToGrid w:val="0"/>
          <w:kern w:val="0"/>
          <w:sz w:val="21"/>
          <w:szCs w:val="21"/>
        </w:rPr>
        <w:t>，根据以上1.所选定额取相应的费率。材料、机械价格除甲方批价材料及甲方发布乙供材料指导价的材料外，采用上海市住房和城乡建设管理委员会发布的信息价，</w:t>
      </w:r>
      <w:r>
        <w:rPr>
          <w:rFonts w:hint="eastAsia" w:ascii="宋体" w:hAnsi="宋体"/>
          <w:snapToGrid w:val="0"/>
          <w:color w:val="auto"/>
          <w:kern w:val="0"/>
          <w:sz w:val="21"/>
          <w:szCs w:val="21"/>
        </w:rPr>
        <w:t>日期以实际开工日期为准。</w:t>
      </w:r>
    </w:p>
    <w:p>
      <w:pPr>
        <w:snapToGrid w:val="0"/>
        <w:spacing w:line="32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(3)</w:t>
      </w:r>
      <w:r>
        <w:rPr>
          <w:rFonts w:hint="eastAsia" w:ascii="宋体" w:hAnsi="宋体"/>
          <w:sz w:val="21"/>
          <w:szCs w:val="21"/>
        </w:rPr>
        <w:t>在施工过程中，使用上海市地方定额时</w:t>
      </w:r>
      <w:r>
        <w:rPr>
          <w:rFonts w:hint="eastAsia" w:ascii="宋体" w:hAnsi="宋体"/>
          <w:snapToGrid w:val="0"/>
          <w:kern w:val="0"/>
          <w:sz w:val="21"/>
          <w:szCs w:val="21"/>
        </w:rPr>
        <w:t>，乙方使用</w:t>
      </w:r>
      <w:permStart w:id="12" w:edGrp="everyone"/>
      <w:r>
        <w:rPr>
          <w:rFonts w:hint="eastAsia" w:ascii="宋体" w:hAnsi="宋体"/>
          <w:snapToGrid w:val="0"/>
          <w:kern w:val="0"/>
          <w:sz w:val="21"/>
          <w:szCs w:val="21"/>
        </w:rPr>
        <w:t>150</w:t>
      </w:r>
      <w:permEnd w:id="12"/>
      <w:r>
        <w:rPr>
          <w:rFonts w:hint="eastAsia" w:ascii="宋体" w:hAnsi="宋体"/>
          <w:snapToGrid w:val="0"/>
          <w:kern w:val="0"/>
          <w:sz w:val="21"/>
          <w:szCs w:val="21"/>
        </w:rPr>
        <w:t>吨及以下的吊车，不另计使用台班费(特殊情况除外)；使用</w:t>
      </w:r>
      <w:permStart w:id="13" w:edGrp="everyone"/>
      <w:r>
        <w:rPr>
          <w:rFonts w:hint="eastAsia" w:ascii="宋体" w:hAnsi="宋体"/>
          <w:snapToGrid w:val="0"/>
          <w:kern w:val="0"/>
          <w:sz w:val="21"/>
          <w:szCs w:val="21"/>
        </w:rPr>
        <w:t>150</w:t>
      </w:r>
      <w:permEnd w:id="13"/>
      <w:r>
        <w:rPr>
          <w:rFonts w:hint="eastAsia" w:ascii="宋体" w:hAnsi="宋体"/>
          <w:snapToGrid w:val="0"/>
          <w:kern w:val="0"/>
          <w:sz w:val="21"/>
          <w:szCs w:val="21"/>
        </w:rPr>
        <w:t>吨以上的大型吊车，机械设备进出场、安装、拆卸、使用台班费及场内行走道路、站位基础加固费，按交甲方备案的施工方案、现场签证及市场价协商计取。</w:t>
      </w:r>
    </w:p>
    <w:p>
      <w:pPr>
        <w:snapToGrid w:val="0"/>
        <w:spacing w:line="32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(4)在施工过程中，使用中石化定额时，乙方使用定额已含吊车，不另计使用台班费(特殊情况除外)；安装工程使用</w:t>
      </w:r>
      <w:permStart w:id="14" w:edGrp="everyone"/>
      <w:r>
        <w:rPr>
          <w:rFonts w:hint="eastAsia" w:ascii="宋体" w:hAnsi="宋体"/>
          <w:snapToGrid w:val="0"/>
          <w:kern w:val="0"/>
          <w:sz w:val="21"/>
          <w:szCs w:val="21"/>
        </w:rPr>
        <w:t>150</w:t>
      </w:r>
      <w:permEnd w:id="14"/>
      <w:r>
        <w:rPr>
          <w:rFonts w:hint="eastAsia" w:ascii="宋体" w:hAnsi="宋体"/>
          <w:snapToGrid w:val="0"/>
          <w:kern w:val="0"/>
          <w:sz w:val="21"/>
          <w:szCs w:val="21"/>
        </w:rPr>
        <w:t>吨以上的大型吊车(工业管线工程使用</w:t>
      </w:r>
      <w:permStart w:id="15" w:edGrp="everyone"/>
      <w:r>
        <w:rPr>
          <w:rFonts w:hint="eastAsia" w:ascii="宋体" w:hAnsi="宋体"/>
          <w:snapToGrid w:val="0"/>
          <w:kern w:val="0"/>
          <w:sz w:val="21"/>
          <w:szCs w:val="21"/>
        </w:rPr>
        <w:t>50</w:t>
      </w:r>
      <w:permEnd w:id="15"/>
      <w:r>
        <w:rPr>
          <w:rFonts w:hint="eastAsia" w:ascii="宋体" w:hAnsi="宋体"/>
          <w:snapToGrid w:val="0"/>
          <w:kern w:val="0"/>
          <w:sz w:val="21"/>
          <w:szCs w:val="21"/>
        </w:rPr>
        <w:t>吨以上吊车)，机械设备进出场、安装、拆卸、使用台班费及场内行走道路、站位基础加固费，按交甲方备案的施工方案、现场签证及市场价协商计取。</w:t>
      </w:r>
      <w:bookmarkStart w:id="15" w:name="_GoBack"/>
      <w:bookmarkEnd w:id="15"/>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(5)在施工过程中，乙方拆下的废料(不包含废旧设备)运输到甲方指定的内部废料堆场，其运输费不计。</w:t>
      </w:r>
      <w:r>
        <w:rPr>
          <w:rFonts w:hint="eastAsia" w:ascii="宋体" w:hAnsi="宋体"/>
          <w:bCs/>
          <w:sz w:val="21"/>
          <w:szCs w:val="21"/>
        </w:rPr>
        <w:t>特殊情况另行协商计价。</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(6)</w:t>
      </w:r>
      <w:permStart w:id="16" w:edGrp="everyone"/>
      <w:r>
        <w:rPr>
          <w:rFonts w:hint="eastAsia" w:ascii="宋体" w:hAnsi="宋体"/>
          <w:snapToGrid w:val="0"/>
          <w:kern w:val="0"/>
          <w:sz w:val="21"/>
          <w:szCs w:val="21"/>
        </w:rPr>
        <w:t xml:space="preserve">( </w:t>
      </w:r>
      <w:r>
        <w:rPr>
          <w:rFonts w:hint="eastAsia" w:asciiTheme="minorEastAsia" w:hAnsiTheme="minorEastAsia" w:eastAsiaTheme="minorEastAsia"/>
          <w:sz w:val="21"/>
          <w:szCs w:val="21"/>
        </w:rPr>
        <w:t>紧急抢修 )</w:t>
      </w:r>
      <w:permEnd w:id="16"/>
      <w:r>
        <w:rPr>
          <w:rFonts w:hint="eastAsia" w:asciiTheme="minorEastAsia" w:hAnsiTheme="minorEastAsia" w:eastAsiaTheme="minorEastAsia"/>
          <w:sz w:val="21"/>
          <w:szCs w:val="21"/>
        </w:rPr>
        <w:t>项目的定额中</w:t>
      </w:r>
      <w:permStart w:id="17" w:edGrp="everyone"/>
      <w:r>
        <w:rPr>
          <w:rFonts w:hint="eastAsia" w:asciiTheme="minorEastAsia" w:hAnsiTheme="minorEastAsia" w:eastAsiaTheme="minorEastAsia"/>
          <w:sz w:val="21"/>
          <w:szCs w:val="21"/>
        </w:rPr>
        <w:t>人工费、机械费增加 50</w:t>
      </w:r>
      <w:permEnd w:id="17"/>
      <w:r>
        <w:rPr>
          <w:rFonts w:hint="eastAsia" w:ascii="宋体" w:hAnsi="宋体"/>
          <w:snapToGrid w:val="0"/>
          <w:kern w:val="0"/>
          <w:sz w:val="21"/>
          <w:szCs w:val="21"/>
        </w:rPr>
        <w:t>%，</w:t>
      </w:r>
      <w:r>
        <w:rPr>
          <w:rFonts w:hint="eastAsia" w:ascii="宋体" w:hAnsi="宋体"/>
          <w:spacing w:val="2"/>
          <w:sz w:val="21"/>
          <w:szCs w:val="21"/>
        </w:rPr>
        <w:t xml:space="preserve">脚手单价增计25% </w:t>
      </w:r>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(7)其他：</w:t>
      </w:r>
      <w:permStart w:id="18" w:edGrp="everyone"/>
      <w:r>
        <w:rPr>
          <w:rFonts w:hint="eastAsia" w:ascii="宋体" w:hAnsi="宋体"/>
          <w:snapToGrid w:val="0"/>
          <w:kern w:val="0"/>
          <w:sz w:val="21"/>
          <w:szCs w:val="21"/>
        </w:rPr>
        <w:t>/</w:t>
      </w:r>
      <w:permEnd w:id="18"/>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3.</w:t>
      </w:r>
      <w:r>
        <w:rPr>
          <w:rFonts w:ascii="宋体" w:hAnsi="宋体"/>
          <w:snapToGrid w:val="0"/>
          <w:kern w:val="0"/>
          <w:sz w:val="21"/>
          <w:szCs w:val="21"/>
        </w:rPr>
        <w:t>HSE</w:t>
      </w:r>
      <w:r>
        <w:rPr>
          <w:rFonts w:hint="eastAsia" w:ascii="宋体" w:hAnsi="宋体"/>
          <w:snapToGrid w:val="0"/>
          <w:kern w:val="0"/>
          <w:sz w:val="21"/>
          <w:szCs w:val="21"/>
        </w:rPr>
        <w:t>费用包括乙方为实施工程的安全、文明施工、环保和有害环境保健要求所发生的费用，按</w:t>
      </w:r>
      <w:permStart w:id="19" w:edGrp="everyone"/>
      <w:r>
        <w:rPr>
          <w:rFonts w:hint="eastAsia" w:ascii="宋体" w:hAnsi="宋体"/>
          <w:snapToGrid w:val="0"/>
          <w:kern w:val="0"/>
          <w:sz w:val="21"/>
          <w:szCs w:val="21"/>
        </w:rPr>
        <w:t xml:space="preserve">(1)、(2) </w:t>
      </w:r>
      <w:permEnd w:id="19"/>
      <w:r>
        <w:rPr>
          <w:rFonts w:hint="eastAsia" w:ascii="宋体" w:hAnsi="宋体"/>
          <w:snapToGrid w:val="0"/>
          <w:kern w:val="0"/>
          <w:sz w:val="21"/>
          <w:szCs w:val="21"/>
        </w:rPr>
        <w:t>系数计取：</w:t>
      </w:r>
    </w:p>
    <w:p>
      <w:pPr>
        <w:snapToGrid w:val="0"/>
        <w:spacing w:line="320" w:lineRule="exact"/>
        <w:ind w:firstLine="420" w:firstLineChars="200"/>
        <w:rPr>
          <w:rFonts w:ascii="宋体" w:hAnsi="宋体" w:cs="宋体"/>
          <w:kern w:val="0"/>
          <w:sz w:val="21"/>
          <w:szCs w:val="21"/>
        </w:rPr>
      </w:pPr>
      <w:r>
        <w:rPr>
          <w:rFonts w:hint="eastAsia" w:ascii="宋体" w:hAnsi="宋体"/>
          <w:snapToGrid w:val="0"/>
          <w:kern w:val="0"/>
          <w:sz w:val="21"/>
          <w:szCs w:val="21"/>
        </w:rPr>
        <w:t>(1)执行中石化</w:t>
      </w:r>
      <w:permStart w:id="20" w:edGrp="everyone"/>
      <w:r>
        <w:rPr>
          <w:rFonts w:ascii="宋体" w:hAnsi="宋体"/>
          <w:snapToGrid w:val="0"/>
          <w:kern w:val="0"/>
          <w:sz w:val="21"/>
          <w:szCs w:val="21"/>
        </w:rPr>
        <w:t>《石油化工行业检修工程预算定额》</w:t>
      </w:r>
      <w:r>
        <w:rPr>
          <w:rFonts w:hint="eastAsia" w:ascii="宋体" w:hAnsi="宋体"/>
          <w:snapToGrid w:val="0"/>
          <w:kern w:val="0"/>
          <w:sz w:val="21"/>
          <w:szCs w:val="21"/>
        </w:rPr>
        <w:t>(2021年</w:t>
      </w:r>
      <w:r>
        <w:rPr>
          <w:rFonts w:hint="eastAsia" w:ascii="宋体" w:hAnsi="宋体"/>
          <w:snapToGrid w:val="0"/>
          <w:color w:val="auto"/>
          <w:kern w:val="0"/>
          <w:sz w:val="21"/>
          <w:szCs w:val="21"/>
        </w:rPr>
        <w:t>版)、</w:t>
      </w:r>
      <w:r>
        <w:rPr>
          <w:rFonts w:hint="eastAsia" w:ascii="宋体" w:hAnsi="宋体"/>
          <w:color w:val="auto"/>
          <w:spacing w:val="2"/>
          <w:sz w:val="21"/>
          <w:szCs w:val="21"/>
        </w:rPr>
        <w:t>《石油化工安装工程预算定额》（2019版）</w:t>
      </w:r>
      <w:permEnd w:id="20"/>
      <w:r>
        <w:rPr>
          <w:rFonts w:hint="eastAsia" w:ascii="宋体" w:hAnsi="宋体"/>
          <w:snapToGrid w:val="0"/>
          <w:color w:val="auto"/>
          <w:kern w:val="0"/>
          <w:sz w:val="21"/>
          <w:szCs w:val="21"/>
        </w:rPr>
        <w:t>的工程，</w:t>
      </w:r>
      <w:r>
        <w:rPr>
          <w:rFonts w:hint="eastAsia" w:ascii="宋体" w:hAnsi="宋体"/>
          <w:snapToGrid w:val="0"/>
          <w:kern w:val="0"/>
          <w:sz w:val="21"/>
          <w:szCs w:val="21"/>
        </w:rPr>
        <w:t>按定额规定的计取</w:t>
      </w:r>
      <w:r>
        <w:rPr>
          <w:rFonts w:hint="eastAsia" w:ascii="宋体" w:hAnsi="宋体" w:cs="宋体"/>
          <w:kern w:val="0"/>
          <w:sz w:val="21"/>
          <w:szCs w:val="21"/>
        </w:rPr>
        <w:t>。</w:t>
      </w:r>
    </w:p>
    <w:p>
      <w:pPr>
        <w:snapToGrid w:val="0"/>
        <w:spacing w:line="320" w:lineRule="exact"/>
        <w:ind w:firstLine="420" w:firstLineChars="200"/>
        <w:rPr>
          <w:rFonts w:ascii="宋体" w:hAnsi="宋体" w:cs="宋体"/>
          <w:kern w:val="0"/>
          <w:sz w:val="21"/>
          <w:szCs w:val="21"/>
        </w:rPr>
      </w:pPr>
      <w:r>
        <w:rPr>
          <w:rFonts w:hint="eastAsia" w:ascii="宋体" w:hAnsi="宋体"/>
          <w:snapToGrid w:val="0"/>
          <w:kern w:val="0"/>
          <w:sz w:val="21"/>
          <w:szCs w:val="21"/>
        </w:rPr>
        <w:t>(2)执行</w:t>
      </w:r>
      <w:r>
        <w:rPr>
          <w:rFonts w:hint="eastAsia" w:ascii="宋体" w:hAnsi="宋体" w:cs="宋体"/>
          <w:kern w:val="0"/>
          <w:sz w:val="21"/>
          <w:szCs w:val="21"/>
        </w:rPr>
        <w:t>上海市</w:t>
      </w:r>
      <w:permStart w:id="21" w:edGrp="everyone"/>
      <w:r>
        <w:rPr>
          <w:rFonts w:hint="eastAsia" w:ascii="宋体" w:hAnsi="宋体" w:cs="宋体"/>
          <w:kern w:val="0"/>
          <w:sz w:val="21"/>
          <w:szCs w:val="21"/>
        </w:rPr>
        <w:t>2016</w:t>
      </w:r>
      <w:permEnd w:id="21"/>
      <w:r>
        <w:rPr>
          <w:rFonts w:hint="eastAsia" w:ascii="宋体" w:hAnsi="宋体" w:cs="宋体"/>
          <w:kern w:val="0"/>
          <w:sz w:val="21"/>
          <w:szCs w:val="21"/>
        </w:rPr>
        <w:t>定额建筑和装饰工程，按照（沪建交[2006]445号）文件</w:t>
      </w:r>
      <w:r>
        <w:rPr>
          <w:rFonts w:hint="eastAsia" w:cs="宋体" w:asciiTheme="minorEastAsia" w:hAnsiTheme="minorEastAsia" w:eastAsiaTheme="minorEastAsia"/>
          <w:kern w:val="0"/>
          <w:sz w:val="21"/>
          <w:szCs w:val="21"/>
        </w:rPr>
        <w:t>，</w:t>
      </w:r>
      <w:r>
        <w:rPr>
          <w:rFonts w:hint="eastAsia" w:ascii="宋体" w:hAnsi="宋体" w:cs="宋体"/>
          <w:kern w:val="0"/>
          <w:sz w:val="21"/>
          <w:szCs w:val="21"/>
        </w:rPr>
        <w:t>安全防护、文明施工措施费按</w:t>
      </w:r>
      <w:permStart w:id="22" w:edGrp="everyone"/>
      <w:r>
        <w:rPr>
          <w:rFonts w:hint="eastAsia" w:ascii="宋体" w:hAnsi="宋体" w:cs="宋体"/>
          <w:kern w:val="0"/>
          <w:sz w:val="21"/>
          <w:szCs w:val="21"/>
        </w:rPr>
        <w:t>(直接费+企业管理费和利润)</w:t>
      </w:r>
      <w:permEnd w:id="22"/>
      <w:r>
        <w:rPr>
          <w:rFonts w:hint="eastAsia" w:ascii="仿宋" w:hAnsi="仿宋" w:eastAsia="仿宋" w:cs="宋体"/>
          <w:kern w:val="0"/>
          <w:sz w:val="21"/>
          <w:szCs w:val="21"/>
        </w:rPr>
        <w:t>×</w:t>
      </w:r>
      <w:r>
        <w:rPr>
          <w:rFonts w:hint="eastAsia" w:ascii="宋体" w:hAnsi="宋体" w:cs="宋体"/>
          <w:kern w:val="0"/>
          <w:sz w:val="21"/>
          <w:szCs w:val="21"/>
        </w:rPr>
        <w:t>1%计取。</w:t>
      </w:r>
      <w:r>
        <w:rPr>
          <w:rFonts w:hint="eastAsia" w:cs="仿宋_GB2312" w:asciiTheme="minorEastAsia" w:hAnsiTheme="minorEastAsia" w:eastAsiaTheme="minorEastAsia"/>
          <w:color w:val="auto"/>
          <w:kern w:val="0"/>
          <w:sz w:val="21"/>
          <w:szCs w:val="21"/>
        </w:rPr>
        <w:t>土建部分防护隔离措施、项目所属单位提出的特殊的措施费用另外计取。</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4.</w:t>
      </w:r>
      <w:r>
        <w:rPr>
          <w:rFonts w:ascii="宋体" w:hAnsi="宋体"/>
          <w:snapToGrid w:val="0"/>
          <w:kern w:val="0"/>
          <w:sz w:val="21"/>
          <w:szCs w:val="21"/>
        </w:rPr>
        <w:t>经协商</w:t>
      </w:r>
      <w:r>
        <w:rPr>
          <w:rFonts w:hint="eastAsia" w:ascii="宋体" w:hAnsi="宋体"/>
          <w:snapToGrid w:val="0"/>
          <w:kern w:val="0"/>
          <w:sz w:val="21"/>
          <w:szCs w:val="21"/>
        </w:rPr>
        <w:t>费用下浮按以下</w:t>
      </w:r>
      <w:permStart w:id="23" w:edGrp="everyone"/>
      <w:r>
        <w:rPr>
          <w:rFonts w:hint="eastAsia" w:ascii="宋体" w:hAnsi="宋体"/>
          <w:snapToGrid w:val="0"/>
          <w:kern w:val="0"/>
          <w:sz w:val="21"/>
          <w:szCs w:val="21"/>
          <w:lang w:val="en-US" w:eastAsia="zh-CN"/>
        </w:rPr>
        <w:t xml:space="preserve"> 按中标下浮率 </w:t>
      </w:r>
      <w:permEnd w:id="23"/>
      <w:r>
        <w:rPr>
          <w:rFonts w:hint="eastAsia" w:ascii="宋体" w:hAnsi="宋体"/>
          <w:snapToGrid w:val="0"/>
          <w:kern w:val="0"/>
          <w:sz w:val="21"/>
          <w:szCs w:val="21"/>
        </w:rPr>
        <w:t>执行：</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(1)</w:t>
      </w:r>
      <w:r>
        <w:rPr>
          <w:rFonts w:ascii="宋体" w:hAnsi="宋体"/>
          <w:snapToGrid w:val="0"/>
          <w:kern w:val="0"/>
          <w:sz w:val="21"/>
          <w:szCs w:val="21"/>
        </w:rPr>
        <w:t>安装</w:t>
      </w:r>
      <w:r>
        <w:rPr>
          <w:rFonts w:hint="eastAsia" w:ascii="宋体" w:hAnsi="宋体"/>
          <w:snapToGrid w:val="0"/>
          <w:kern w:val="0"/>
          <w:sz w:val="21"/>
          <w:szCs w:val="21"/>
        </w:rPr>
        <w:t>项目</w:t>
      </w:r>
      <w:r>
        <w:rPr>
          <w:rFonts w:ascii="宋体" w:hAnsi="宋体"/>
          <w:snapToGrid w:val="0"/>
          <w:kern w:val="0"/>
          <w:sz w:val="21"/>
          <w:szCs w:val="21"/>
        </w:rPr>
        <w:t>安装费下浮</w:t>
      </w:r>
      <w:r>
        <w:rPr>
          <w:rFonts w:hint="eastAsia" w:ascii="宋体" w:hAnsi="宋体"/>
          <w:snapToGrid w:val="0"/>
          <w:kern w:val="0"/>
          <w:sz w:val="21"/>
          <w:szCs w:val="21"/>
        </w:rPr>
        <w:t>：</w:t>
      </w:r>
      <w:permStart w:id="24" w:edGrp="everyone"/>
      <w:r>
        <w:rPr>
          <w:rFonts w:hint="eastAsia" w:ascii="宋体" w:hAnsi="宋体"/>
          <w:snapToGrid w:val="0"/>
          <w:kern w:val="0"/>
          <w:sz w:val="21"/>
          <w:szCs w:val="21"/>
        </w:rPr>
        <w:t>/</w:t>
      </w:r>
      <w:permEnd w:id="24"/>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(2)纯</w:t>
      </w:r>
      <w:r>
        <w:rPr>
          <w:rFonts w:ascii="宋体" w:hAnsi="宋体"/>
          <w:snapToGrid w:val="0"/>
          <w:kern w:val="0"/>
          <w:sz w:val="21"/>
          <w:szCs w:val="21"/>
        </w:rPr>
        <w:t>土建</w:t>
      </w:r>
      <w:r>
        <w:rPr>
          <w:rFonts w:hint="eastAsia" w:ascii="宋体" w:hAnsi="宋体"/>
          <w:snapToGrid w:val="0"/>
          <w:kern w:val="0"/>
          <w:sz w:val="21"/>
          <w:szCs w:val="21"/>
        </w:rPr>
        <w:t>项目及以土建项目为主的项目</w:t>
      </w:r>
      <w:r>
        <w:rPr>
          <w:rFonts w:ascii="宋体" w:hAnsi="宋体"/>
          <w:snapToGrid w:val="0"/>
          <w:kern w:val="0"/>
          <w:sz w:val="21"/>
          <w:szCs w:val="21"/>
        </w:rPr>
        <w:t>施工费下浮</w:t>
      </w:r>
      <w:r>
        <w:rPr>
          <w:rFonts w:hint="eastAsia" w:ascii="宋体" w:hAnsi="宋体"/>
          <w:snapToGrid w:val="0"/>
          <w:kern w:val="0"/>
          <w:sz w:val="21"/>
          <w:szCs w:val="21"/>
        </w:rPr>
        <w:t>：</w:t>
      </w:r>
      <w:permStart w:id="25" w:edGrp="everyone"/>
      <w:r>
        <w:rPr>
          <w:rFonts w:hint="eastAsia" w:ascii="宋体" w:hAnsi="宋体"/>
          <w:snapToGrid w:val="0"/>
          <w:kern w:val="0"/>
          <w:sz w:val="21"/>
          <w:szCs w:val="21"/>
        </w:rPr>
        <w:t>不下浮</w:t>
      </w:r>
      <w:permEnd w:id="25"/>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(3)总价下浮：</w:t>
      </w:r>
      <w:permStart w:id="26" w:edGrp="everyone"/>
      <w:r>
        <w:rPr>
          <w:rFonts w:hint="eastAsia" w:ascii="宋体" w:hAnsi="宋体"/>
          <w:snapToGrid w:val="0"/>
          <w:kern w:val="0"/>
          <w:sz w:val="21"/>
          <w:szCs w:val="21"/>
        </w:rPr>
        <w:t>/</w:t>
      </w:r>
      <w:permEnd w:id="26"/>
      <w:r>
        <w:rPr>
          <w:rFonts w:hint="eastAsia" w:ascii="宋体" w:hAnsi="宋体"/>
          <w:snapToGrid w:val="0"/>
          <w:kern w:val="0"/>
          <w:sz w:val="21"/>
          <w:szCs w:val="21"/>
        </w:rPr>
        <w:t>%(</w:t>
      </w:r>
      <w:permStart w:id="27" w:edGrp="everyone"/>
      <w:r>
        <w:rPr>
          <w:rFonts w:hint="eastAsia"/>
          <w:sz w:val="21"/>
          <w:szCs w:val="21"/>
        </w:rPr>
        <w:t>甲供料、甲方批价的乙供料和固定单价除外</w:t>
      </w:r>
      <w:permEnd w:id="27"/>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(4)总价下浮：</w:t>
      </w:r>
      <w:permStart w:id="28" w:edGrp="everyone"/>
      <w:r>
        <w:rPr>
          <w:rFonts w:hint="eastAsia" w:ascii="宋体" w:hAnsi="宋体"/>
          <w:snapToGrid w:val="0"/>
          <w:kern w:val="0"/>
          <w:sz w:val="21"/>
          <w:szCs w:val="21"/>
        </w:rPr>
        <w:t>不下浮</w:t>
      </w:r>
      <w:permEnd w:id="28"/>
      <w:r>
        <w:rPr>
          <w:rFonts w:hint="eastAsia" w:ascii="宋体" w:hAnsi="宋体"/>
          <w:snapToGrid w:val="0"/>
          <w:kern w:val="0"/>
          <w:sz w:val="21"/>
          <w:szCs w:val="21"/>
        </w:rPr>
        <w:t>。</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rPr>
        <w:t>5.对于超过规范或定额标准施工的项目，乙方在施工方案中必须有科学、合理的原因说明以外，补充工单作为结算依据，否则结算时不得按实调整。</w:t>
      </w:r>
    </w:p>
    <w:p>
      <w:pPr>
        <w:snapToGrid w:val="0"/>
        <w:spacing w:line="320" w:lineRule="exact"/>
        <w:ind w:firstLine="420" w:firstLineChars="200"/>
        <w:rPr>
          <w:rFonts w:ascii="宋体" w:hAnsi="宋体"/>
          <w:snapToGrid w:val="0"/>
          <w:kern w:val="0"/>
          <w:sz w:val="21"/>
          <w:szCs w:val="21"/>
        </w:rPr>
      </w:pPr>
      <w:r>
        <w:rPr>
          <w:rFonts w:hint="eastAsia" w:ascii="宋体" w:hAnsi="宋体"/>
          <w:snapToGrid w:val="0"/>
          <w:kern w:val="0"/>
          <w:sz w:val="21"/>
          <w:szCs w:val="21"/>
          <w:lang w:val="en-US" w:eastAsia="zh-CN"/>
        </w:rPr>
        <w:t>6</w:t>
      </w:r>
      <w:r>
        <w:rPr>
          <w:rFonts w:hint="eastAsia" w:ascii="宋体" w:hAnsi="宋体"/>
          <w:snapToGrid w:val="0"/>
          <w:kern w:val="0"/>
          <w:sz w:val="21"/>
          <w:szCs w:val="21"/>
        </w:rPr>
        <w:t>.施工安全防护措施费</w:t>
      </w:r>
      <w:permStart w:id="29" w:edGrp="everyone"/>
      <w:r>
        <w:rPr>
          <w:rFonts w:hint="eastAsia" w:ascii="宋体" w:hAnsi="宋体"/>
          <w:snapToGrid w:val="0"/>
          <w:kern w:val="0"/>
          <w:sz w:val="21"/>
          <w:szCs w:val="21"/>
        </w:rPr>
        <w:t>和脚手架费用</w:t>
      </w:r>
      <w:permEnd w:id="29"/>
      <w:r>
        <w:rPr>
          <w:rFonts w:hint="eastAsia" w:ascii="宋体" w:hAnsi="宋体"/>
          <w:snapToGrid w:val="0"/>
          <w:kern w:val="0"/>
          <w:sz w:val="21"/>
          <w:szCs w:val="21"/>
        </w:rPr>
        <w:t>须专款专用，该项费用组成明细清单须在乙方提交决算书时同时提交。</w:t>
      </w:r>
    </w:p>
    <w:p>
      <w:pPr>
        <w:numPr>
          <w:ilvl w:val="0"/>
          <w:numId w:val="0"/>
        </w:numPr>
        <w:spacing w:line="42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napToGrid w:val="0"/>
          <w:kern w:val="0"/>
          <w:sz w:val="22"/>
          <w:szCs w:val="22"/>
          <w:lang w:val="en-US" w:eastAsia="zh-CN"/>
        </w:rPr>
        <w:t xml:space="preserve"> </w:t>
      </w:r>
      <w:r>
        <w:rPr>
          <w:rFonts w:hint="eastAsia" w:asciiTheme="minorEastAsia" w:hAnsiTheme="minorEastAsia" w:eastAsiaTheme="minorEastAsia" w:cstheme="minorEastAsia"/>
          <w:b/>
        </w:rPr>
        <w:t>4. 付款方式：</w:t>
      </w:r>
      <w:r>
        <w:rPr>
          <w:rFonts w:hint="eastAsia" w:asciiTheme="minorEastAsia" w:hAnsiTheme="minorEastAsia" w:eastAsiaTheme="minorEastAsia" w:cstheme="minorEastAsia"/>
          <w:color w:val="000000"/>
          <w:sz w:val="22"/>
          <w:szCs w:val="22"/>
        </w:rPr>
        <w:t>采用分期付款方式，具体见合同文本。</w:t>
      </w:r>
    </w:p>
    <w:p>
      <w:pPr>
        <w:spacing w:line="42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 合同价款的支付和结算涉及农民工工资支付的，响应人</w:t>
      </w:r>
      <w:r>
        <w:rPr>
          <w:rFonts w:hint="eastAsia" w:asciiTheme="minorEastAsia" w:hAnsiTheme="minorEastAsia" w:eastAsiaTheme="minorEastAsia" w:cstheme="minorEastAsia"/>
          <w:color w:val="000000"/>
          <w:sz w:val="22"/>
          <w:szCs w:val="22"/>
          <w:highlight w:val="yellow"/>
        </w:rPr>
        <w:t>须承诺</w:t>
      </w:r>
      <w:r>
        <w:rPr>
          <w:rFonts w:hint="eastAsia" w:asciiTheme="minorEastAsia" w:hAnsiTheme="minorEastAsia" w:eastAsiaTheme="minorEastAsia" w:cstheme="minorEastAsia"/>
          <w:color w:val="000000"/>
          <w:sz w:val="22"/>
          <w:szCs w:val="22"/>
        </w:rPr>
        <w:t>以下内容作为合同约定条款并严格履行：</w:t>
      </w:r>
    </w:p>
    <w:p>
      <w:pPr>
        <w:spacing w:line="42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农民工工资应当以货币形式，通过银行转账或者现金支付给农民工本人，甲方应当向乙方提供工程款支付担保。乙方应根据合同约定和履行进度向甲方提出工程进度款申请，进度款中应明确农民工工资数额。乙方应保障农民工按时足额获得工资，并在工程全部完结后提供农民工工资结清证明。 （2）乙方应当按照有关规定开设农民工工资专用账户，专项用于支付该工程项目农民工工资。 （3）乙方及分包单位应当建立用工管理台账，并保存至工程完工且工资全部结清后至少3年。甲方和乙方及分包承诺执行政府行政管理部门关于工程款分账管理、农民工工资支付的各项制度，不拖欠农民工工资。 （4）乙方及分包单位在履行合同过程中发生的下列情况之一的属违约：拖欠农民工工资问题，引发信访等不稳定因素发生，造成甲方损失、声誉受损等不良影响；未严格执行《保障农民工工资支付条例》（国务院令第724号）有关规定，保障农民工按时足额获得工资等。 （5）因乙方及分包单位违反合同约定或《保障农民工工资支付条例》（国务院令第724号）有关规定，给甲方造成损失的，承包方应赔偿损失，并承担损失本合同总款项（10）%的违约金，同时甲方有权单方解除合同。因乙方及分包单位拖欠农民工工资问题，引发信访等不稳定因素发生，造成甲方损失、声誉受损等不良影响，甲方有权解除合同，同时将乙方及分包单位纳入禁入市场黑名单。 （6）乙方及分包单位招用工人的，应当依法与所招用的工人订立劳动合同，实行工人劳动用工实名制管理，乙方及分包单位应当按照有关规定开设工人工资专用账户、存储工资保证金，专项用于支付和保障该工程项目工人工资。 （7）乙方应当在工程项目部配备劳资专管员，对分包单位劳动用工及工资发放实施监督管理。乙方拖欠工人工资的应当依法予以清偿。分包单位拖欠工人工资的,由乙方方先行清偿,再依法进行追偿。因甲方未按照合同约定及时拨付工程款导致工人工资拖欠的，乙方应当以未结清的工程款为限，先行垫付被拖欠的工人工资。</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十、合同文本：</w:t>
      </w:r>
    </w:p>
    <w:p>
      <w:pPr>
        <w:spacing w:line="420" w:lineRule="exact"/>
        <w:ind w:firstLine="562" w:firstLineChars="200"/>
        <w:rPr>
          <w:rFonts w:ascii="楷体_GB2312" w:eastAsia="楷体_GB2312"/>
          <w:b/>
          <w:sz w:val="28"/>
          <w:szCs w:val="28"/>
        </w:rPr>
      </w:pPr>
      <w:r>
        <w:rPr>
          <w:rFonts w:hint="eastAsia" w:ascii="楷体_GB2312" w:eastAsia="楷体_GB2312"/>
          <w:b/>
          <w:sz w:val="28"/>
          <w:szCs w:val="28"/>
        </w:rPr>
        <w:t>十一、其他</w:t>
      </w:r>
    </w:p>
    <w:p>
      <w:pPr>
        <w:spacing w:line="420" w:lineRule="exact"/>
        <w:ind w:firstLine="482" w:firstLineChars="200"/>
      </w:pPr>
      <w:r>
        <w:rPr>
          <w:rFonts w:hint="eastAsia"/>
          <w:b/>
        </w:rPr>
        <w:t>1</w:t>
      </w:r>
      <w:r>
        <w:rPr>
          <w:b/>
        </w:rPr>
        <w:t>.</w:t>
      </w:r>
      <w:r>
        <w:rPr>
          <w:rFonts w:hint="eastAsia"/>
          <w:b/>
        </w:rPr>
        <w:t xml:space="preserve"> 踏勘现场交底：</w:t>
      </w:r>
      <w:r>
        <w:rPr>
          <w:rFonts w:hint="eastAsia"/>
          <w:u w:val="single"/>
        </w:rPr>
        <w:t>本（</w:t>
      </w:r>
      <w:r>
        <w:rPr>
          <w:u w:val="single"/>
        </w:rPr>
        <w:t>业务）</w:t>
      </w:r>
      <w:r>
        <w:rPr>
          <w:rFonts w:hint="eastAsia"/>
          <w:u w:val="single"/>
        </w:rPr>
        <w:t>项目竞争性选商邀请</w:t>
      </w:r>
      <w:r>
        <w:rPr>
          <w:u w:val="single"/>
        </w:rPr>
        <w:t>人不组织现场踏勘</w:t>
      </w:r>
      <w:r>
        <w:rPr>
          <w:rFonts w:hint="eastAsia"/>
          <w:u w:val="single"/>
        </w:rPr>
        <w:t>交底</w:t>
      </w:r>
      <w:r>
        <w:t>。</w:t>
      </w:r>
    </w:p>
    <w:p>
      <w:pPr>
        <w:spacing w:line="420" w:lineRule="exact"/>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 文件异议</w:t>
      </w:r>
      <w:r>
        <w:rPr>
          <w:b/>
          <w:color w:val="000000" w:themeColor="text1"/>
          <w14:textFill>
            <w14:solidFill>
              <w14:schemeClr w14:val="tx1"/>
            </w14:solidFill>
          </w14:textFill>
        </w:rPr>
        <w:t>、答</w:t>
      </w:r>
      <w:r>
        <w:rPr>
          <w:rFonts w:hint="eastAsia"/>
          <w:b/>
          <w:color w:val="000000" w:themeColor="text1"/>
          <w14:textFill>
            <w14:solidFill>
              <w14:schemeClr w14:val="tx1"/>
            </w14:solidFill>
          </w14:textFill>
        </w:rPr>
        <w:t>疑安排</w:t>
      </w:r>
      <w:r>
        <w:rPr>
          <w:b/>
          <w:color w:val="000000" w:themeColor="text1"/>
          <w14:textFill>
            <w14:solidFill>
              <w14:schemeClr w14:val="tx1"/>
            </w14:solidFill>
          </w14:textFill>
        </w:rPr>
        <w:t>：</w:t>
      </w:r>
      <w:r>
        <w:rPr>
          <w:rFonts w:hint="eastAsia"/>
          <w:color w:val="000000" w:themeColor="text1"/>
          <w14:textFill>
            <w14:solidFill>
              <w14:schemeClr w14:val="tx1"/>
            </w14:solidFill>
          </w14:textFill>
        </w:rPr>
        <w:t>不安排</w:t>
      </w:r>
    </w:p>
    <w:p>
      <w:pPr>
        <w:spacing w:line="420" w:lineRule="exact"/>
        <w:ind w:firstLine="482" w:firstLineChars="200"/>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响应</w:t>
      </w:r>
      <w:r>
        <w:rPr>
          <w:b/>
          <w:color w:val="000000" w:themeColor="text1"/>
          <w14:textFill>
            <w14:solidFill>
              <w14:schemeClr w14:val="tx1"/>
            </w14:solidFill>
          </w14:textFill>
        </w:rPr>
        <w:t>文件的份数</w:t>
      </w:r>
      <w:r>
        <w:rPr>
          <w:rFonts w:hint="eastAsia"/>
          <w:b/>
          <w:color w:val="000000" w:themeColor="text1"/>
          <w14:textFill>
            <w14:solidFill>
              <w14:schemeClr w14:val="tx1"/>
            </w14:solidFill>
          </w14:textFill>
        </w:rPr>
        <w:t>及密封</w:t>
      </w:r>
      <w:r>
        <w:rPr>
          <w:rFonts w:hint="eastAsia"/>
        </w:rPr>
        <w:t>：</w:t>
      </w:r>
      <w:r>
        <w:t>用于密封的档案</w:t>
      </w:r>
      <w:r>
        <w:rPr>
          <w:rFonts w:hint="eastAsia"/>
        </w:rPr>
        <w:t>\文件</w:t>
      </w:r>
      <w:r>
        <w:t>袋封面上应标明响应项目名称、响应单位名称、地址、联系人和手机号，并注明竞争性</w:t>
      </w:r>
      <w:r>
        <w:rPr>
          <w:rFonts w:hint="eastAsia"/>
        </w:rPr>
        <w:t>选商评审</w:t>
      </w:r>
      <w:r>
        <w:t>（谈判）时间前不得开封，在密封处骑缝加盖响应人</w:t>
      </w:r>
      <w:r>
        <w:rPr>
          <w:rFonts w:hint="eastAsia"/>
        </w:rPr>
        <w:t>公</w:t>
      </w:r>
      <w:r>
        <w:t>章。密封的档案</w:t>
      </w:r>
      <w:r>
        <w:rPr>
          <w:rFonts w:hint="eastAsia"/>
        </w:rPr>
        <w:t>\文件</w:t>
      </w:r>
      <w:r>
        <w:t>袋</w:t>
      </w:r>
      <w:r>
        <w:rPr>
          <w:rFonts w:hint="eastAsia"/>
        </w:rPr>
        <w:t>内的</w:t>
      </w:r>
      <w:r>
        <w:t>响应文件必须装订成册,</w:t>
      </w:r>
      <w:r>
        <w:rPr>
          <w:rFonts w:hint="eastAsia"/>
        </w:rPr>
        <w:t>一</w:t>
      </w:r>
      <w:r>
        <w:t>式</w:t>
      </w:r>
      <w:r>
        <w:rPr>
          <w:rFonts w:hint="eastAsia"/>
          <w:u w:val="single"/>
        </w:rPr>
        <w:t>二</w:t>
      </w:r>
      <w:r>
        <w:t>份</w:t>
      </w:r>
      <w:r>
        <w:rPr>
          <w:rFonts w:hint="eastAsia"/>
        </w:rPr>
        <w:t>。若采用</w:t>
      </w:r>
      <w:r>
        <w:t>综合</w:t>
      </w:r>
      <w:r>
        <w:rPr>
          <w:rFonts w:hint="eastAsia"/>
        </w:rPr>
        <w:t>评审法，</w:t>
      </w:r>
      <w:r>
        <w:t>密封的档案</w:t>
      </w:r>
      <w:r>
        <w:rPr>
          <w:rFonts w:hint="eastAsia"/>
        </w:rPr>
        <w:t>\文件</w:t>
      </w:r>
      <w:r>
        <w:t>袋</w:t>
      </w:r>
      <w:r>
        <w:rPr>
          <w:rFonts w:hint="eastAsia"/>
        </w:rPr>
        <w:t>内</w:t>
      </w:r>
      <w:r>
        <w:rPr>
          <w:rFonts w:hint="eastAsia" w:asciiTheme="minorEastAsia" w:hAnsiTheme="minorEastAsia" w:eastAsiaTheme="minorEastAsia"/>
        </w:rPr>
        <w:t>的</w:t>
      </w:r>
      <w:r>
        <w:rPr>
          <w:rFonts w:asciiTheme="minorEastAsia" w:hAnsiTheme="minorEastAsia" w:eastAsiaTheme="minorEastAsia"/>
        </w:rPr>
        <w:t>“技术响应文件”和“商务响应文件”</w:t>
      </w:r>
      <w:r>
        <w:rPr>
          <w:rFonts w:hint="eastAsia" w:asciiTheme="minorEastAsia" w:hAnsiTheme="minorEastAsia" w:eastAsiaTheme="minorEastAsia"/>
        </w:rPr>
        <w:t>必须分别密封，</w:t>
      </w:r>
      <w:r>
        <w:rPr>
          <w:rFonts w:asciiTheme="minorEastAsia" w:hAnsiTheme="minorEastAsia" w:eastAsiaTheme="minorEastAsia"/>
        </w:rPr>
        <w:t>包封上应分别正确标明“技术响应文件”和“商务响应文件”</w:t>
      </w:r>
      <w:r>
        <w:rPr>
          <w:rFonts w:hint="eastAsia"/>
        </w:rPr>
        <w:t>。</w:t>
      </w:r>
    </w:p>
    <w:p>
      <w:pPr>
        <w:spacing w:line="420" w:lineRule="exact"/>
        <w:ind w:firstLine="482" w:firstLineChars="200"/>
      </w:pPr>
      <w:r>
        <w:rPr>
          <w:rFonts w:hint="eastAsia"/>
          <w:b/>
          <w:color w:val="000000" w:themeColor="text1"/>
          <w14:textFill>
            <w14:solidFill>
              <w14:schemeClr w14:val="tx1"/>
            </w14:solidFill>
          </w14:textFill>
        </w:rPr>
        <w:t>4. 响应</w:t>
      </w:r>
      <w:r>
        <w:rPr>
          <w:b/>
          <w:color w:val="000000" w:themeColor="text1"/>
          <w14:textFill>
            <w14:solidFill>
              <w14:schemeClr w14:val="tx1"/>
            </w14:solidFill>
          </w14:textFill>
        </w:rPr>
        <w:t>文件签章要求</w:t>
      </w:r>
      <w:r>
        <w:rPr>
          <w:rFonts w:hint="eastAsia"/>
        </w:rPr>
        <w:t>：</w:t>
      </w:r>
      <w:r>
        <w:rPr>
          <w:color w:val="000000" w:themeColor="text1"/>
          <w14:textFill>
            <w14:solidFill>
              <w14:schemeClr w14:val="tx1"/>
            </w14:solidFill>
          </w14:textFill>
        </w:rPr>
        <w:t>封面、</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函加盖法人公章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正本、副本签字盖章处不得复印。</w:t>
      </w:r>
    </w:p>
    <w:p>
      <w:pPr>
        <w:spacing w:line="420" w:lineRule="exact"/>
        <w:ind w:firstLine="482" w:firstLineChars="200"/>
      </w:pPr>
      <w:r>
        <w:rPr>
          <w:rFonts w:hint="eastAsia"/>
          <w:b/>
          <w:color w:val="000000" w:themeColor="text1"/>
          <w14:textFill>
            <w14:solidFill>
              <w14:schemeClr w14:val="tx1"/>
            </w14:solidFill>
          </w14:textFill>
        </w:rPr>
        <w:t>5. 响应</w:t>
      </w:r>
      <w:r>
        <w:rPr>
          <w:b/>
          <w:color w:val="000000" w:themeColor="text1"/>
          <w14:textFill>
            <w14:solidFill>
              <w14:schemeClr w14:val="tx1"/>
            </w14:solidFill>
          </w14:textFill>
        </w:rPr>
        <w:t>文件递交时间及地点</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见</w:t>
      </w:r>
      <w:r>
        <w:rPr>
          <w:rFonts w:hint="eastAsia" w:ascii="Arial" w:hAnsi="Arial"/>
          <w:kern w:val="0"/>
          <w:szCs w:val="32"/>
        </w:rPr>
        <w:t>竞争</w:t>
      </w:r>
      <w:r>
        <w:rPr>
          <w:rFonts w:ascii="Arial" w:hAnsi="Arial"/>
          <w:kern w:val="0"/>
          <w:szCs w:val="32"/>
        </w:rPr>
        <w:t>性选商</w:t>
      </w:r>
      <w:r>
        <w:rPr>
          <w:rFonts w:hint="eastAsia"/>
          <w:color w:val="000000" w:themeColor="text1"/>
          <w14:textFill>
            <w14:solidFill>
              <w14:schemeClr w14:val="tx1"/>
            </w14:solidFill>
          </w14:textFill>
        </w:rPr>
        <w:t>公告第四条相关内容</w:t>
      </w:r>
    </w:p>
    <w:p>
      <w:pPr>
        <w:spacing w:line="420" w:lineRule="exact"/>
        <w:ind w:firstLine="482" w:firstLineChars="200"/>
      </w:pPr>
      <w:r>
        <w:rPr>
          <w:rFonts w:hint="eastAsia"/>
          <w:b/>
          <w:color w:val="000000" w:themeColor="text1"/>
          <w14:textFill>
            <w14:solidFill>
              <w14:schemeClr w14:val="tx1"/>
            </w14:solidFill>
          </w14:textFill>
        </w:rPr>
        <w:t>6. 响应文件</w:t>
      </w:r>
      <w:r>
        <w:rPr>
          <w:b/>
          <w:color w:val="000000" w:themeColor="text1"/>
          <w14:textFill>
            <w14:solidFill>
              <w14:schemeClr w14:val="tx1"/>
            </w14:solidFill>
          </w14:textFill>
        </w:rPr>
        <w:t>有效期</w:t>
      </w:r>
      <w:r>
        <w:rPr>
          <w:rFonts w:hint="eastAsia"/>
          <w:b/>
        </w:rPr>
        <w:t>：</w:t>
      </w:r>
      <w:r>
        <w:rPr>
          <w:b/>
          <w:color w:val="0000FF"/>
          <w:u w:val="single"/>
        </w:rPr>
        <w:t>90天</w:t>
      </w:r>
      <w:r>
        <w:rPr>
          <w:color w:val="000000" w:themeColor="text1"/>
          <w14:textFill>
            <w14:solidFill>
              <w14:schemeClr w14:val="tx1"/>
            </w14:solidFill>
          </w14:textFill>
        </w:rPr>
        <w:t>（从</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截止之日算起）</w:t>
      </w:r>
      <w:r>
        <w:rPr>
          <w:rFonts w:hint="eastAsia"/>
        </w:rPr>
        <w:t>。</w:t>
      </w:r>
    </w:p>
    <w:p>
      <w:pPr>
        <w:spacing w:line="420" w:lineRule="exact"/>
        <w:ind w:firstLine="482" w:firstLineChars="200"/>
        <w:rPr>
          <w:rFonts w:hint="eastAsia"/>
          <w:color w:val="000000" w:themeColor="text1"/>
          <w14:textFill>
            <w14:solidFill>
              <w14:schemeClr w14:val="tx1"/>
            </w14:solidFill>
          </w14:textFill>
        </w:rPr>
      </w:pP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提交原件</w:t>
      </w:r>
      <w:r>
        <w:rPr>
          <w:rFonts w:hint="eastAsia"/>
          <w:b/>
          <w:color w:val="000000" w:themeColor="text1"/>
          <w14:textFill>
            <w14:solidFill>
              <w14:schemeClr w14:val="tx1"/>
            </w14:solidFill>
          </w14:textFill>
        </w:rPr>
        <w:t>的要求</w:t>
      </w:r>
      <w:r>
        <w:rPr>
          <w:rFonts w:hint="eastAsia"/>
        </w:rPr>
        <w:t>：</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阶段不要求提交原件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评定</w:t>
      </w:r>
      <w:r>
        <w:rPr>
          <w:color w:val="000000" w:themeColor="text1"/>
          <w14:textFill>
            <w14:solidFill>
              <w14:schemeClr w14:val="tx1"/>
            </w14:solidFill>
          </w14:textFill>
        </w:rPr>
        <w:t>阶段，</w:t>
      </w:r>
      <w:r>
        <w:rPr>
          <w:rFonts w:hint="eastAsia" w:ascii="Arial" w:hAnsi="Arial"/>
          <w:kern w:val="0"/>
          <w:szCs w:val="32"/>
        </w:rPr>
        <w:t>竞争</w:t>
      </w:r>
      <w:r>
        <w:rPr>
          <w:rFonts w:ascii="Arial" w:hAnsi="Arial"/>
          <w:kern w:val="0"/>
          <w:szCs w:val="32"/>
        </w:rPr>
        <w:t>性选商</w:t>
      </w:r>
      <w:r>
        <w:rPr>
          <w:rFonts w:hint="eastAsia"/>
        </w:rPr>
        <w:t>邀请</w:t>
      </w:r>
      <w:r>
        <w:rPr>
          <w:color w:val="000000" w:themeColor="text1"/>
          <w14:textFill>
            <w14:solidFill>
              <w14:schemeClr w14:val="tx1"/>
            </w14:solidFill>
          </w14:textFill>
        </w:rPr>
        <w:t>人有权要求</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候选人提交其</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文件中的扫描件的对应原件，以便核实其扫描件的真实性。若</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候选人不能提交扫描件的对应原件，视为</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候选人的</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文件造假，</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候选人的</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资格将被取消</w:t>
      </w:r>
      <w:r>
        <w:rPr>
          <w:rFonts w:hint="eastAsia"/>
          <w:color w:val="000000" w:themeColor="text1"/>
          <w14:textFill>
            <w14:solidFill>
              <w14:schemeClr w14:val="tx1"/>
            </w14:solidFill>
          </w14:textFill>
        </w:rPr>
        <w:t>。</w:t>
      </w:r>
    </w:p>
    <w:p>
      <w:pPr>
        <w:spacing w:line="420" w:lineRule="exact"/>
        <w:ind w:firstLine="482" w:firstLineChars="200"/>
        <w:rPr>
          <w:rFonts w:hint="eastAsia"/>
          <w:b/>
          <w:color w:val="000000" w:themeColor="text1"/>
          <w:highlight w:val="yellow"/>
          <w14:textFill>
            <w14:solidFill>
              <w14:schemeClr w14:val="tx1"/>
            </w14:solidFill>
          </w14:textFill>
        </w:rPr>
      </w:pPr>
      <w:r>
        <w:rPr>
          <w:rFonts w:hint="eastAsia"/>
          <w:b/>
          <w:color w:val="000000" w:themeColor="text1"/>
          <w:highlight w:val="yellow"/>
          <w14:textFill>
            <w14:solidFill>
              <w14:schemeClr w14:val="tx1"/>
            </w14:solidFill>
          </w14:textFill>
        </w:rPr>
        <w:t>8.</w:t>
      </w:r>
      <w:r>
        <w:rPr>
          <w:b/>
          <w:color w:val="000000" w:themeColor="text1"/>
          <w:highlight w:val="yellow"/>
          <w14:textFill>
            <w14:solidFill>
              <w14:schemeClr w14:val="tx1"/>
            </w14:solidFill>
          </w14:textFill>
        </w:rPr>
        <w:t xml:space="preserve"> </w:t>
      </w:r>
      <w:r>
        <w:rPr>
          <w:rFonts w:hint="eastAsia"/>
          <w:b/>
          <w:color w:val="000000" w:themeColor="text1"/>
          <w:highlight w:val="yellow"/>
          <w:lang w:val="en-US" w:eastAsia="zh-CN"/>
          <w14:textFill>
            <w14:solidFill>
              <w14:schemeClr w14:val="tx1"/>
            </w14:solidFill>
          </w14:textFill>
        </w:rPr>
        <w:t>HSE专项</w:t>
      </w:r>
      <w:r>
        <w:rPr>
          <w:rFonts w:hint="eastAsia"/>
          <w:b/>
          <w:color w:val="000000" w:themeColor="text1"/>
          <w:highlight w:val="yellow"/>
          <w14:textFill>
            <w14:solidFill>
              <w14:schemeClr w14:val="tx1"/>
            </w14:solidFill>
          </w14:textFill>
        </w:rPr>
        <w:t>评</w:t>
      </w:r>
      <w:r>
        <w:rPr>
          <w:b/>
          <w:color w:val="000000" w:themeColor="text1"/>
          <w:highlight w:val="yellow"/>
          <w14:textFill>
            <w14:solidFill>
              <w14:schemeClr w14:val="tx1"/>
            </w14:solidFill>
          </w14:textFill>
        </w:rPr>
        <w:t>审</w:t>
      </w:r>
      <w:r>
        <w:rPr>
          <w:rFonts w:hint="eastAsia"/>
          <w:b/>
          <w:color w:val="000000" w:themeColor="text1"/>
          <w:highlight w:val="yellow"/>
          <w14:textFill>
            <w14:solidFill>
              <w14:schemeClr w14:val="tx1"/>
            </w14:solidFill>
          </w14:textFill>
        </w:rPr>
        <w:t>否决</w:t>
      </w:r>
      <w:r>
        <w:rPr>
          <w:b/>
          <w:color w:val="000000" w:themeColor="text1"/>
          <w:highlight w:val="yellow"/>
          <w14:textFill>
            <w14:solidFill>
              <w14:schemeClr w14:val="tx1"/>
            </w14:solidFill>
          </w14:textFill>
        </w:rPr>
        <w:t>项</w:t>
      </w:r>
      <w:r>
        <w:rPr>
          <w:rFonts w:hint="eastAsia"/>
          <w:b/>
          <w:color w:val="000000" w:themeColor="text1"/>
          <w:highlight w:val="yellow"/>
          <w14:textFill>
            <w14:solidFill>
              <w14:schemeClr w14:val="tx1"/>
            </w14:solidFill>
          </w14:textFill>
        </w:rPr>
        <w:t>：</w:t>
      </w:r>
    </w:p>
    <w:p>
      <w:pPr>
        <w:spacing w:line="420" w:lineRule="exact"/>
        <w:ind w:firstLine="482" w:firstLineChars="200"/>
        <w:rPr>
          <w:rFonts w:hint="eastAsia"/>
          <w:b/>
          <w:color w:val="FF0000"/>
          <w:highlight w:val="yellow"/>
          <w:lang w:val="en-US" w:eastAsia="zh-CN"/>
        </w:rPr>
      </w:pPr>
      <w:r>
        <w:rPr>
          <w:rFonts w:hint="eastAsia"/>
          <w:b/>
          <w:color w:val="FF0000"/>
          <w:highlight w:val="yellow"/>
          <w:lang w:val="en-US" w:eastAsia="zh-CN"/>
        </w:rPr>
        <w:t>HSE专项评审低于80分的无资格参与技术标和商务标的评审。</w:t>
      </w:r>
    </w:p>
    <w:p>
      <w:pPr>
        <w:spacing w:line="420" w:lineRule="exact"/>
        <w:ind w:firstLine="482" w:firstLineChars="200"/>
        <w:rPr>
          <w:rFonts w:hint="eastAsia"/>
          <w:b/>
          <w:color w:val="000000" w:themeColor="text1"/>
          <w:highlight w:val="yellow"/>
          <w:lang w:eastAsia="zh-CN"/>
          <w14:textFill>
            <w14:solidFill>
              <w14:schemeClr w14:val="tx1"/>
            </w14:solidFill>
          </w14:textFill>
        </w:rPr>
      </w:pPr>
      <w:r>
        <w:rPr>
          <w:rFonts w:hint="eastAsia"/>
          <w:b/>
          <w:color w:val="000000" w:themeColor="text1"/>
          <w:highlight w:val="yellow"/>
          <w14:textFill>
            <w14:solidFill>
              <w14:schemeClr w14:val="tx1"/>
            </w14:solidFill>
          </w14:textFill>
        </w:rPr>
        <w:t>HSE专项评审标准及计分表</w:t>
      </w:r>
      <w:r>
        <w:rPr>
          <w:rFonts w:hint="eastAsia"/>
          <w:b/>
          <w:color w:val="000000" w:themeColor="text1"/>
          <w:highlight w:val="yellow"/>
          <w:lang w:eastAsia="zh-CN"/>
          <w14:textFill>
            <w14:solidFill>
              <w14:schemeClr w14:val="tx1"/>
            </w14:solidFill>
          </w14:textFill>
        </w:rPr>
        <w:t>的响应人填写要求：</w:t>
      </w:r>
    </w:p>
    <w:p>
      <w:pPr>
        <w:spacing w:line="420" w:lineRule="exact"/>
        <w:ind w:firstLine="482" w:firstLineChars="200"/>
        <w:rPr>
          <w:rFonts w:hint="eastAsia"/>
          <w:b/>
          <w:color w:val="000000" w:themeColor="text1"/>
          <w:highlight w:val="yellow"/>
          <w:lang w:eastAsia="zh-CN"/>
          <w14:textFill>
            <w14:solidFill>
              <w14:schemeClr w14:val="tx1"/>
            </w14:solidFill>
          </w14:textFill>
        </w:rPr>
      </w:pPr>
      <w:r>
        <w:rPr>
          <w:rFonts w:hint="eastAsia"/>
          <w:b/>
          <w:color w:val="000000" w:themeColor="text1"/>
          <w:highlight w:val="yellow"/>
          <w:lang w:eastAsia="zh-CN"/>
          <w14:textFill>
            <w14:solidFill>
              <w14:schemeClr w14:val="tx1"/>
            </w14:solidFill>
          </w14:textFill>
        </w:rPr>
        <w:t>（</w:t>
      </w:r>
      <w:r>
        <w:rPr>
          <w:rFonts w:hint="eastAsia"/>
          <w:b/>
          <w:color w:val="000000" w:themeColor="text1"/>
          <w:highlight w:val="yellow"/>
          <w:lang w:val="en-US" w:eastAsia="zh-CN"/>
          <w14:textFill>
            <w14:solidFill>
              <w14:schemeClr w14:val="tx1"/>
            </w14:solidFill>
          </w14:textFill>
        </w:rPr>
        <w:t>1</w:t>
      </w:r>
      <w:r>
        <w:rPr>
          <w:rFonts w:hint="eastAsia"/>
          <w:b/>
          <w:color w:val="000000" w:themeColor="text1"/>
          <w:highlight w:val="yellow"/>
          <w:lang w:eastAsia="zh-CN"/>
          <w14:textFill>
            <w14:solidFill>
              <w14:schemeClr w14:val="tx1"/>
            </w14:solidFill>
          </w14:textFill>
        </w:rPr>
        <w:t>）响应方在</w:t>
      </w:r>
      <w:r>
        <w:rPr>
          <w:rFonts w:hint="eastAsia"/>
          <w:b/>
          <w:color w:val="000000" w:themeColor="text1"/>
          <w:highlight w:val="yellow"/>
          <w14:textFill>
            <w14:solidFill>
              <w14:schemeClr w14:val="tx1"/>
            </w14:solidFill>
          </w14:textFill>
        </w:rPr>
        <w:t>响应评审项</w:t>
      </w:r>
      <w:r>
        <w:rPr>
          <w:rFonts w:hint="eastAsia"/>
          <w:b/>
          <w:color w:val="000000" w:themeColor="text1"/>
          <w:highlight w:val="yellow"/>
          <w:lang w:eastAsia="zh-CN"/>
          <w14:textFill>
            <w14:solidFill>
              <w14:schemeClr w14:val="tx1"/>
            </w14:solidFill>
          </w14:textFill>
        </w:rPr>
        <w:t>的“响应人响应”一览中</w:t>
      </w:r>
      <w:r>
        <w:rPr>
          <w:rFonts w:hint="eastAsia"/>
          <w:b/>
          <w:color w:val="FF0000"/>
          <w:highlight w:val="yellow"/>
          <w:lang w:eastAsia="zh-CN"/>
        </w:rPr>
        <w:t>填写</w:t>
      </w:r>
      <w:r>
        <w:rPr>
          <w:rFonts w:hint="eastAsia"/>
          <w:b/>
          <w:color w:val="000000" w:themeColor="text1"/>
          <w:highlight w:val="yellow"/>
          <w:lang w:eastAsia="zh-CN"/>
          <w14:textFill>
            <w14:solidFill>
              <w14:schemeClr w14:val="tx1"/>
            </w14:solidFill>
          </w14:textFill>
        </w:rPr>
        <w:t>“响应”、“不响应”或“不适用”</w:t>
      </w:r>
    </w:p>
    <w:p>
      <w:pPr>
        <w:spacing w:line="420" w:lineRule="exact"/>
        <w:ind w:firstLine="482" w:firstLineChars="200"/>
        <w:rPr>
          <w:rFonts w:hint="eastAsia"/>
          <w:b/>
          <w:color w:val="000000" w:themeColor="text1"/>
          <w:highlight w:val="yellow"/>
          <w:lang w:eastAsia="zh-CN"/>
          <w14:textFill>
            <w14:solidFill>
              <w14:schemeClr w14:val="tx1"/>
            </w14:solidFill>
          </w14:textFill>
        </w:rPr>
      </w:pPr>
      <w:r>
        <w:rPr>
          <w:rFonts w:hint="eastAsia"/>
          <w:b/>
          <w:color w:val="000000" w:themeColor="text1"/>
          <w:highlight w:val="yellow"/>
          <w:lang w:val="en-US" w:eastAsia="zh-CN"/>
          <w14:textFill>
            <w14:solidFill>
              <w14:schemeClr w14:val="tx1"/>
            </w14:solidFill>
          </w14:textFill>
        </w:rPr>
        <w:t>（2）</w:t>
      </w:r>
      <w:r>
        <w:rPr>
          <w:rFonts w:hint="eastAsia"/>
          <w:b/>
          <w:color w:val="000000" w:themeColor="text1"/>
          <w:highlight w:val="yellow"/>
          <w:lang w:eastAsia="zh-CN"/>
          <w14:textFill>
            <w14:solidFill>
              <w14:schemeClr w14:val="tx1"/>
            </w14:solidFill>
          </w14:textFill>
        </w:rPr>
        <w:t>响应方须根据</w:t>
      </w:r>
      <w:r>
        <w:rPr>
          <w:rFonts w:hint="eastAsia"/>
          <w:b/>
          <w:color w:val="000000" w:themeColor="text1"/>
          <w:highlight w:val="yellow"/>
          <w14:textFill>
            <w14:solidFill>
              <w14:schemeClr w14:val="tx1"/>
            </w14:solidFill>
          </w14:textFill>
        </w:rPr>
        <w:t>管控方案评审项</w:t>
      </w:r>
      <w:r>
        <w:rPr>
          <w:rFonts w:hint="eastAsia"/>
          <w:b/>
          <w:color w:val="000000" w:themeColor="text1"/>
          <w:highlight w:val="yellow"/>
          <w:lang w:eastAsia="zh-CN"/>
          <w14:textFill>
            <w14:solidFill>
              <w14:schemeClr w14:val="tx1"/>
            </w14:solidFill>
          </w14:textFill>
        </w:rPr>
        <w:t>中“评审项目”要求认真编写技术标，甲方评审人员将依据评审标准进行评审。</w:t>
      </w:r>
    </w:p>
    <w:p>
      <w:pPr>
        <w:pStyle w:val="8"/>
        <w:numPr>
          <w:ilvl w:val="0"/>
          <w:numId w:val="0"/>
        </w:numPr>
        <w:spacing w:line="540" w:lineRule="exact"/>
        <w:ind w:left="0" w:leftChars="0" w:firstLine="482" w:firstLineChars="200"/>
        <w:rPr>
          <w:rFonts w:hint="eastAsia" w:ascii="Times New Roman" w:hAnsiTheme="minorEastAsia" w:eastAsiaTheme="minorEastAsia"/>
          <w:b/>
          <w:color w:val="FF0000"/>
          <w:kern w:val="2"/>
          <w:sz w:val="24"/>
          <w:szCs w:val="24"/>
          <w:highlight w:val="none"/>
          <w:lang w:val="en-US" w:eastAsia="zh-CN"/>
        </w:rPr>
      </w:pPr>
      <w:r>
        <w:rPr>
          <w:rFonts w:hint="eastAsia" w:ascii="Times New Roman" w:hAnsi="Times New Roman" w:cs="Times New Roman"/>
          <w:b/>
          <w:color w:val="FF0000"/>
          <w:kern w:val="2"/>
          <w:sz w:val="24"/>
          <w:szCs w:val="24"/>
          <w:lang w:val="en-US" w:eastAsia="zh-CN" w:bidi="ar-SA"/>
        </w:rPr>
        <w:t>9.</w:t>
      </w:r>
      <w:r>
        <w:rPr>
          <w:rFonts w:hint="eastAsia" w:ascii="Times New Roman" w:hAnsi="Times New Roman" w:eastAsia="宋体" w:cs="Times New Roman"/>
          <w:b/>
          <w:color w:val="FF0000"/>
          <w:kern w:val="2"/>
          <w:sz w:val="24"/>
          <w:szCs w:val="24"/>
          <w:lang w:val="en-US" w:eastAsia="zh-CN" w:bidi="ar-SA"/>
        </w:rPr>
        <w:t>评分方法：</w:t>
      </w:r>
    </w:p>
    <w:p>
      <w:pPr>
        <w:pStyle w:val="8"/>
        <w:numPr>
          <w:ilvl w:val="0"/>
          <w:numId w:val="0"/>
        </w:numPr>
        <w:spacing w:line="540" w:lineRule="exact"/>
        <w:ind w:firstLine="723" w:firstLineChars="300"/>
        <w:rPr>
          <w:rFonts w:hint="default" w:ascii="Times New Roman" w:hAnsiTheme="minorEastAsia" w:eastAsiaTheme="minorEastAsia"/>
          <w:b/>
          <w:color w:val="FF0000"/>
          <w:kern w:val="2"/>
          <w:sz w:val="24"/>
          <w:szCs w:val="24"/>
          <w:highlight w:val="none"/>
          <w:lang w:val="en-US" w:eastAsia="zh-CN"/>
        </w:rPr>
      </w:pPr>
      <w:r>
        <w:rPr>
          <w:rFonts w:hint="eastAsia" w:ascii="Times New Roman" w:hAnsiTheme="minorEastAsia" w:eastAsiaTheme="minorEastAsia"/>
          <w:b/>
          <w:color w:val="FF0000"/>
          <w:kern w:val="2"/>
          <w:sz w:val="24"/>
          <w:szCs w:val="24"/>
          <w:highlight w:val="none"/>
          <w:lang w:val="en-US" w:eastAsia="zh-CN"/>
        </w:rPr>
        <w:t>综合评判法。技术部分和商务部分各占50%权重。</w:t>
      </w:r>
    </w:p>
    <w:p>
      <w:pPr>
        <w:pStyle w:val="8"/>
        <w:numPr>
          <w:ilvl w:val="0"/>
          <w:numId w:val="0"/>
        </w:numPr>
        <w:spacing w:line="540" w:lineRule="exact"/>
        <w:ind w:left="567" w:leftChars="0"/>
        <w:rPr>
          <w:rFonts w:hint="eastAsia" w:ascii="Times New Roman" w:hAnsiTheme="minorEastAsia" w:eastAsiaTheme="minorEastAsia"/>
          <w:b/>
          <w:color w:val="FF0000"/>
          <w:kern w:val="2"/>
          <w:sz w:val="24"/>
          <w:szCs w:val="24"/>
          <w:highlight w:val="none"/>
          <w:lang w:val="en-US" w:eastAsia="zh-CN"/>
        </w:rPr>
      </w:pPr>
      <w:r>
        <w:rPr>
          <w:rFonts w:hint="eastAsia" w:ascii="Times New Roman" w:hAnsiTheme="minorEastAsia" w:eastAsiaTheme="minorEastAsia"/>
          <w:b/>
          <w:color w:val="FF0000"/>
          <w:kern w:val="2"/>
          <w:sz w:val="24"/>
          <w:szCs w:val="24"/>
          <w:highlight w:val="none"/>
          <w:lang w:val="en-US" w:eastAsia="zh-CN"/>
        </w:rPr>
        <w:t>商务标评分方法（评分后按50%折算）：</w:t>
      </w:r>
    </w:p>
    <w:p>
      <w:pPr>
        <w:pStyle w:val="8"/>
        <w:numPr>
          <w:ilvl w:val="0"/>
          <w:numId w:val="0"/>
        </w:numPr>
        <w:spacing w:line="540" w:lineRule="exact"/>
        <w:ind w:left="567" w:leftChars="0"/>
        <w:rPr>
          <w:rFonts w:hint="eastAsia" w:hAnsi="宋体" w:cs="宋体"/>
          <w:color w:val="000000"/>
          <w:kern w:val="0"/>
          <w:sz w:val="22"/>
          <w:szCs w:val="22"/>
          <w:highlight w:val="none"/>
          <w:lang w:eastAsia="zh-CN"/>
        </w:rPr>
      </w:pPr>
      <w:r>
        <w:rPr>
          <w:rFonts w:hint="eastAsia" w:ascii="宋体" w:hAnsi="宋体" w:cs="宋体"/>
          <w:kern w:val="0"/>
          <w:sz w:val="22"/>
          <w:szCs w:val="22"/>
        </w:rPr>
        <w:t>1.评审基准价：</w:t>
      </w:r>
      <w:r>
        <w:rPr>
          <w:rFonts w:hint="eastAsia" w:ascii="宋体" w:hAnsi="宋体" w:cs="宋体"/>
          <w:kern w:val="0"/>
          <w:sz w:val="22"/>
          <w:szCs w:val="22"/>
        </w:rPr>
        <w:br w:type="textWrapping"/>
      </w:r>
      <w:r>
        <w:rPr>
          <w:rFonts w:hint="eastAsia" w:ascii="宋体" w:hAnsi="宋体" w:cs="宋体"/>
          <w:kern w:val="0"/>
          <w:sz w:val="22"/>
          <w:szCs w:val="22"/>
        </w:rPr>
        <w:t>取所有有效响应报价（降点率%）的最大下浮降点率作为评审基准价。</w:t>
      </w:r>
      <w:r>
        <w:rPr>
          <w:rFonts w:hint="eastAsia" w:ascii="宋体" w:hAnsi="宋体" w:cs="宋体"/>
          <w:kern w:val="0"/>
          <w:sz w:val="22"/>
          <w:szCs w:val="22"/>
        </w:rPr>
        <w:br w:type="textWrapping"/>
      </w:r>
      <w:r>
        <w:rPr>
          <w:rFonts w:hint="eastAsia" w:ascii="宋体" w:hAnsi="宋体" w:cs="宋体"/>
          <w:kern w:val="0"/>
          <w:sz w:val="22"/>
          <w:szCs w:val="22"/>
        </w:rPr>
        <w:t>2.响应报价（降点率%）得分：</w:t>
      </w:r>
      <w:r>
        <w:rPr>
          <w:rFonts w:hint="eastAsia" w:ascii="宋体" w:hAnsi="宋体" w:cs="宋体"/>
          <w:kern w:val="0"/>
          <w:sz w:val="22"/>
          <w:szCs w:val="22"/>
        </w:rPr>
        <w:br w:type="textWrapping"/>
      </w:r>
      <w:r>
        <w:rPr>
          <w:rFonts w:hint="eastAsia" w:ascii="宋体" w:hAnsi="宋体" w:cs="宋体"/>
          <w:kern w:val="0"/>
          <w:sz w:val="22"/>
          <w:szCs w:val="22"/>
        </w:rPr>
        <w:t>(1)经评审的有效响应报价=评审基准价时，得100分；</w:t>
      </w:r>
      <w:r>
        <w:rPr>
          <w:rFonts w:hint="eastAsia" w:ascii="宋体" w:hAnsi="宋体" w:cs="宋体"/>
          <w:kern w:val="0"/>
          <w:sz w:val="22"/>
          <w:szCs w:val="22"/>
        </w:rPr>
        <w:br w:type="textWrapping"/>
      </w:r>
      <w:r>
        <w:rPr>
          <w:rFonts w:hint="eastAsia" w:ascii="宋体" w:hAnsi="宋体" w:cs="宋体"/>
          <w:kern w:val="0"/>
          <w:sz w:val="22"/>
          <w:szCs w:val="22"/>
        </w:rPr>
        <w:t>(2)响应报价得分=100-〔（评审基准价-有效响应报价）×100×</w:t>
      </w:r>
      <w:r>
        <w:rPr>
          <w:rFonts w:hint="eastAsia" w:hAnsi="宋体" w:cs="宋体"/>
          <w:kern w:val="0"/>
          <w:sz w:val="22"/>
          <w:szCs w:val="22"/>
          <w:lang w:val="en-US" w:eastAsia="zh-CN"/>
        </w:rPr>
        <w:t>5</w:t>
      </w:r>
      <w:r>
        <w:rPr>
          <w:rFonts w:hint="eastAsia" w:ascii="宋体" w:hAnsi="宋体" w:cs="宋体"/>
          <w:kern w:val="0"/>
          <w:sz w:val="22"/>
          <w:szCs w:val="22"/>
        </w:rPr>
        <w:t>〕,若计算结果低于0分，则按0分计；</w:t>
      </w:r>
      <w:r>
        <w:rPr>
          <w:rFonts w:hint="eastAsia" w:ascii="宋体" w:hAnsi="宋体" w:cs="宋体"/>
          <w:kern w:val="0"/>
          <w:sz w:val="22"/>
          <w:szCs w:val="22"/>
        </w:rPr>
        <w:br w:type="textWrapping"/>
      </w:r>
      <w:r>
        <w:rPr>
          <w:rFonts w:hint="eastAsia" w:ascii="宋体" w:hAnsi="宋体" w:cs="宋体"/>
          <w:kern w:val="0"/>
          <w:sz w:val="22"/>
          <w:szCs w:val="22"/>
        </w:rPr>
        <w:t>(3)结果保留小数点后二位。</w:t>
      </w:r>
    </w:p>
    <w:p>
      <w:pPr>
        <w:pStyle w:val="8"/>
        <w:numPr>
          <w:ilvl w:val="0"/>
          <w:numId w:val="0"/>
        </w:numPr>
        <w:spacing w:line="540" w:lineRule="exact"/>
        <w:ind w:left="567" w:leftChars="0"/>
        <w:rPr>
          <w:rFonts w:hint="eastAsia"/>
          <w:b/>
          <w:color w:val="000000" w:themeColor="text1"/>
          <w:highlight w:val="yellow"/>
          <w:lang w:eastAsia="zh-CN"/>
          <w14:textFill>
            <w14:solidFill>
              <w14:schemeClr w14:val="tx1"/>
            </w14:solidFill>
          </w14:textFill>
        </w:rPr>
      </w:pPr>
    </w:p>
    <w:p>
      <w:pPr>
        <w:spacing w:line="420" w:lineRule="exact"/>
        <w:ind w:firstLine="482" w:firstLineChars="200"/>
        <w:rPr>
          <w:rFonts w:hint="eastAsia"/>
          <w:b/>
          <w:color w:val="000000" w:themeColor="text1"/>
          <w:highlight w:val="yellow"/>
          <w:lang w:eastAsia="zh-CN"/>
          <w14:textFill>
            <w14:solidFill>
              <w14:schemeClr w14:val="tx1"/>
            </w14:solidFill>
          </w14:textFill>
        </w:rPr>
      </w:pPr>
    </w:p>
    <w:p>
      <w:pPr>
        <w:spacing w:line="420" w:lineRule="exact"/>
        <w:ind w:firstLine="482" w:firstLineChars="200"/>
        <w:rPr>
          <w:rFonts w:hint="eastAsia"/>
          <w:b/>
          <w:color w:val="000000" w:themeColor="text1"/>
          <w:highlight w:val="yellow"/>
          <w:lang w:eastAsia="zh-CN"/>
          <w14:textFill>
            <w14:solidFill>
              <w14:schemeClr w14:val="tx1"/>
            </w14:solidFill>
          </w14:textFill>
        </w:rPr>
      </w:pPr>
    </w:p>
    <w:p>
      <w:pPr>
        <w:spacing w:line="420" w:lineRule="exact"/>
        <w:ind w:firstLine="482" w:firstLineChars="200"/>
        <w:rPr>
          <w:rFonts w:hint="eastAsia"/>
          <w:b/>
          <w:color w:val="000000" w:themeColor="text1"/>
          <w:highlight w:val="yellow"/>
          <w:lang w:eastAsia="zh-CN"/>
          <w14:textFill>
            <w14:solidFill>
              <w14:schemeClr w14:val="tx1"/>
            </w14:solidFill>
          </w14:textFill>
        </w:rPr>
        <w:sectPr>
          <w:pgSz w:w="11906" w:h="16838"/>
          <w:pgMar w:top="709" w:right="1276" w:bottom="992" w:left="1276" w:header="851" w:footer="834" w:gutter="0"/>
          <w:cols w:space="425" w:num="1"/>
          <w:docGrid w:linePitch="312" w:charSpace="0"/>
        </w:sectPr>
      </w:pPr>
    </w:p>
    <w:tbl>
      <w:tblPr>
        <w:tblStyle w:val="14"/>
        <w:tblW w:w="14306" w:type="dxa"/>
        <w:tblInd w:w="175" w:type="dxa"/>
        <w:tblLayout w:type="autofit"/>
        <w:tblCellMar>
          <w:top w:w="0" w:type="dxa"/>
          <w:left w:w="108" w:type="dxa"/>
          <w:bottom w:w="0" w:type="dxa"/>
          <w:right w:w="108" w:type="dxa"/>
        </w:tblCellMar>
      </w:tblPr>
      <w:tblGrid>
        <w:gridCol w:w="503"/>
        <w:gridCol w:w="730"/>
        <w:gridCol w:w="2193"/>
        <w:gridCol w:w="9112"/>
        <w:gridCol w:w="679"/>
        <w:gridCol w:w="203"/>
        <w:gridCol w:w="40"/>
        <w:gridCol w:w="846"/>
      </w:tblGrid>
      <w:tr>
        <w:tblPrEx>
          <w:tblCellMar>
            <w:top w:w="0" w:type="dxa"/>
            <w:left w:w="108" w:type="dxa"/>
            <w:bottom w:w="0" w:type="dxa"/>
            <w:right w:w="108" w:type="dxa"/>
          </w:tblCellMar>
        </w:tblPrEx>
        <w:trPr>
          <w:trHeight w:val="375" w:hRule="atLeast"/>
        </w:trPr>
        <w:tc>
          <w:tcPr>
            <w:tcW w:w="12158" w:type="dxa"/>
            <w:gridSpan w:val="4"/>
            <w:tcBorders>
              <w:top w:val="nil"/>
              <w:left w:val="nil"/>
              <w:bottom w:val="single" w:color="auto" w:sz="4" w:space="0"/>
              <w:right w:val="nil"/>
            </w:tcBorders>
            <w:shd w:val="clear" w:color="auto" w:fill="auto"/>
            <w:noWrap/>
            <w:vAlign w:val="center"/>
          </w:tcPr>
          <w:p>
            <w:pPr>
              <w:jc w:val="left"/>
              <w:rPr>
                <w:color w:val="auto"/>
              </w:rPr>
            </w:pPr>
            <w:r>
              <w:rPr>
                <w:color w:val="auto"/>
              </w:rPr>
              <w:t xml:space="preserve">           </w:t>
            </w:r>
          </w:p>
          <w:p>
            <w:pPr>
              <w:jc w:val="center"/>
              <w:rPr>
                <w:rFonts w:hint="eastAsia" w:eastAsia="宋体"/>
                <w:color w:val="auto"/>
                <w:sz w:val="28"/>
                <w:szCs w:val="28"/>
                <w:lang w:eastAsia="zh-CN"/>
              </w:rPr>
            </w:pPr>
            <w:r>
              <w:rPr>
                <w:rFonts w:hint="eastAsia"/>
                <w:color w:val="auto"/>
                <w:sz w:val="28"/>
                <w:szCs w:val="28"/>
              </w:rPr>
              <w:t>HSE专项评审标准及计分表（参考）</w:t>
            </w:r>
            <w:r>
              <w:rPr>
                <w:rFonts w:hint="eastAsia"/>
                <w:color w:val="auto"/>
                <w:sz w:val="28"/>
                <w:szCs w:val="28"/>
                <w:highlight w:val="yellow"/>
                <w:lang w:eastAsia="zh-CN"/>
              </w:rPr>
              <w:t>须承诺</w:t>
            </w:r>
          </w:p>
          <w:p>
            <w:pPr>
              <w:ind w:firstLine="6160" w:firstLineChars="2800"/>
              <w:jc w:val="left"/>
              <w:rPr>
                <w:rFonts w:hint="eastAsia" w:ascii="仿宋_GB2312" w:hAnsi="宋体" w:eastAsia="仿宋_GB2312" w:cs="宋体"/>
                <w:color w:val="auto"/>
                <w:kern w:val="0"/>
                <w:sz w:val="22"/>
                <w:lang w:eastAsia="zh-CN"/>
              </w:rPr>
            </w:pPr>
            <w:r>
              <w:rPr>
                <w:rFonts w:hint="eastAsia" w:ascii="仿宋_GB2312" w:hAnsi="宋体" w:eastAsia="仿宋_GB2312" w:cs="宋体"/>
                <w:color w:val="auto"/>
                <w:kern w:val="0"/>
                <w:sz w:val="22"/>
                <w:lang w:eastAsia="zh-CN"/>
              </w:rPr>
              <w:t>评审人：</w:t>
            </w:r>
          </w:p>
        </w:tc>
        <w:tc>
          <w:tcPr>
            <w:tcW w:w="658"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2"/>
              </w:rPr>
            </w:pPr>
          </w:p>
        </w:tc>
        <w:tc>
          <w:tcPr>
            <w:tcW w:w="236" w:type="dxa"/>
            <w:gridSpan w:val="2"/>
            <w:tcBorders>
              <w:top w:val="nil"/>
              <w:left w:val="nil"/>
              <w:bottom w:val="nil"/>
              <w:right w:val="nil"/>
            </w:tcBorders>
            <w:shd w:val="clear" w:color="auto" w:fill="auto"/>
            <w:noWrap/>
            <w:vAlign w:val="center"/>
          </w:tcPr>
          <w:p>
            <w:pPr>
              <w:widowControl/>
              <w:jc w:val="center"/>
              <w:rPr>
                <w:rFonts w:eastAsia="Times New Roman"/>
                <w:color w:val="auto"/>
                <w:kern w:val="0"/>
                <w:sz w:val="20"/>
                <w:szCs w:val="20"/>
              </w:rPr>
            </w:pPr>
          </w:p>
        </w:tc>
        <w:tc>
          <w:tcPr>
            <w:tcW w:w="820" w:type="dxa"/>
            <w:tcBorders>
              <w:top w:val="nil"/>
              <w:left w:val="nil"/>
              <w:bottom w:val="nil"/>
              <w:right w:val="nil"/>
            </w:tcBorders>
            <w:shd w:val="clear" w:color="auto" w:fill="auto"/>
            <w:noWrap/>
            <w:vAlign w:val="center"/>
          </w:tcPr>
          <w:p>
            <w:pPr>
              <w:widowControl/>
              <w:jc w:val="center"/>
              <w:rPr>
                <w:rFonts w:eastAsia="Times New Roman"/>
                <w:color w:val="auto"/>
                <w:kern w:val="0"/>
                <w:sz w:val="20"/>
                <w:szCs w:val="20"/>
              </w:rPr>
            </w:pPr>
          </w:p>
        </w:tc>
      </w:tr>
      <w:tr>
        <w:tblPrEx>
          <w:tblCellMar>
            <w:top w:w="0" w:type="dxa"/>
            <w:left w:w="108" w:type="dxa"/>
            <w:bottom w:w="0" w:type="dxa"/>
            <w:right w:w="108" w:type="dxa"/>
          </w:tblCellMar>
        </w:tblPrEx>
        <w:trPr>
          <w:trHeight w:val="1005" w:hRule="atLeast"/>
        </w:trPr>
        <w:tc>
          <w:tcPr>
            <w:tcW w:w="488" w:type="dxa"/>
            <w:tcBorders>
              <w:top w:val="nil"/>
              <w:left w:val="single" w:color="auto" w:sz="4" w:space="0"/>
              <w:bottom w:val="nil"/>
              <w:right w:val="single" w:color="auto" w:sz="4" w:space="0"/>
            </w:tcBorders>
            <w:shd w:val="clear" w:color="000000" w:fill="F2F2F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708" w:type="dxa"/>
            <w:tcBorders>
              <w:top w:val="nil"/>
              <w:left w:val="nil"/>
              <w:bottom w:val="nil"/>
              <w:right w:val="single" w:color="auto" w:sz="4" w:space="0"/>
            </w:tcBorders>
            <w:shd w:val="clear" w:color="000000" w:fill="F2F2F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评审项目</w:t>
            </w:r>
          </w:p>
        </w:tc>
        <w:tc>
          <w:tcPr>
            <w:tcW w:w="10962" w:type="dxa"/>
            <w:gridSpan w:val="2"/>
            <w:tcBorders>
              <w:top w:val="nil"/>
              <w:left w:val="nil"/>
              <w:bottom w:val="single" w:color="auto" w:sz="4" w:space="0"/>
              <w:right w:val="single" w:color="auto" w:sz="4" w:space="0"/>
            </w:tcBorders>
            <w:shd w:val="clear" w:color="000000" w:fill="F2F2F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评审标准</w:t>
            </w:r>
          </w:p>
          <w:p>
            <w:pPr>
              <w:widowControl/>
              <w:jc w:val="left"/>
              <w:rPr>
                <w:rFonts w:ascii="宋体" w:hAnsi="宋体" w:cs="宋体"/>
                <w:color w:val="auto"/>
                <w:kern w:val="0"/>
                <w:sz w:val="20"/>
                <w:szCs w:val="20"/>
              </w:rPr>
            </w:pPr>
          </w:p>
        </w:tc>
        <w:tc>
          <w:tcPr>
            <w:tcW w:w="855" w:type="dxa"/>
            <w:gridSpan w:val="2"/>
            <w:tcBorders>
              <w:top w:val="single" w:color="auto" w:sz="4" w:space="0"/>
              <w:left w:val="nil"/>
              <w:bottom w:val="nil"/>
              <w:right w:val="single" w:color="auto" w:sz="4" w:space="0"/>
            </w:tcBorders>
            <w:shd w:val="clear" w:color="000000" w:fill="F2F2F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标准分</w:t>
            </w:r>
          </w:p>
        </w:tc>
        <w:tc>
          <w:tcPr>
            <w:tcW w:w="859" w:type="dxa"/>
            <w:gridSpan w:val="2"/>
            <w:tcBorders>
              <w:top w:val="single" w:color="auto" w:sz="4" w:space="0"/>
              <w:left w:val="nil"/>
              <w:bottom w:val="nil"/>
              <w:right w:val="single" w:color="auto" w:sz="4" w:space="0"/>
            </w:tcBorders>
            <w:shd w:val="clear" w:color="000000" w:fill="F2F2F2"/>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响应</w:t>
            </w:r>
            <w:r>
              <w:rPr>
                <w:rFonts w:hint="eastAsia" w:ascii="宋体" w:hAnsi="宋体" w:cs="宋体"/>
                <w:color w:val="auto"/>
                <w:kern w:val="0"/>
                <w:sz w:val="20"/>
                <w:szCs w:val="20"/>
              </w:rPr>
              <w:t>人</w:t>
            </w:r>
            <w:r>
              <w:rPr>
                <w:rFonts w:hint="eastAsia" w:ascii="宋体" w:hAnsi="宋体" w:cs="宋体"/>
                <w:color w:val="auto"/>
                <w:kern w:val="0"/>
                <w:sz w:val="20"/>
                <w:szCs w:val="20"/>
              </w:rPr>
              <w:br w:type="textWrapping"/>
            </w:r>
            <w:r>
              <w:rPr>
                <w:rFonts w:hint="eastAsia" w:ascii="宋体" w:hAnsi="宋体" w:cs="宋体"/>
                <w:color w:val="auto"/>
                <w:kern w:val="0"/>
                <w:sz w:val="20"/>
                <w:szCs w:val="20"/>
                <w:lang w:eastAsia="zh-CN"/>
              </w:rPr>
              <w:t>响应</w:t>
            </w:r>
          </w:p>
        </w:tc>
      </w:tr>
      <w:tr>
        <w:tblPrEx>
          <w:tblCellMar>
            <w:top w:w="0" w:type="dxa"/>
            <w:left w:w="108" w:type="dxa"/>
            <w:bottom w:w="0" w:type="dxa"/>
            <w:right w:w="108" w:type="dxa"/>
          </w:tblCellMar>
        </w:tblPrEx>
        <w:trPr>
          <w:trHeight w:val="435" w:hRule="atLeast"/>
        </w:trPr>
        <w:tc>
          <w:tcPr>
            <w:tcW w:w="48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一</w:t>
            </w:r>
          </w:p>
        </w:tc>
        <w:tc>
          <w:tcPr>
            <w:tcW w:w="1338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b/>
                <w:color w:val="auto"/>
                <w:kern w:val="0"/>
                <w:sz w:val="20"/>
                <w:szCs w:val="20"/>
              </w:rPr>
            </w:pPr>
            <w:r>
              <w:rPr>
                <w:rFonts w:hint="eastAsia" w:ascii="宋体" w:hAnsi="宋体" w:cs="宋体"/>
                <w:b/>
                <w:color w:val="auto"/>
                <w:kern w:val="0"/>
                <w:sz w:val="20"/>
                <w:szCs w:val="20"/>
              </w:rPr>
              <w:t>响应评审项（30分）</w:t>
            </w:r>
          </w:p>
        </w:tc>
      </w:tr>
      <w:tr>
        <w:tblPrEx>
          <w:tblCellMar>
            <w:top w:w="0" w:type="dxa"/>
            <w:left w:w="108" w:type="dxa"/>
            <w:bottom w:w="0" w:type="dxa"/>
            <w:right w:w="108" w:type="dxa"/>
          </w:tblCellMar>
        </w:tblPrEx>
        <w:trPr>
          <w:trHeight w:val="263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人员资格及安全教育</w:t>
            </w:r>
          </w:p>
        </w:tc>
        <w:tc>
          <w:tcPr>
            <w:tcW w:w="1096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①按照中标响应派驻项目经理部人员，未经发包人书面同意不擅自离岗②根据项目实施情况及时配置专职安全生产管理人员，人数符合国家、中国石化规定（含发包人规定，以及合同约定，以下简称规定）；按照规定组织内部安全教育并详实记录③管理及作业人员严格按照规定持证上岗；管理人员参加专项安全培训并合格；作业许可申请人、签发人、监护人、接收人经过作业许可管理培训合格并取得相应资质；杜绝无证上岗或变造伪造证件上岗④管理及作业人员严格按照规定持证上岗；管理人员参加专项安全培训并合格；作业许可申请人、签发人、监护人、接收人经过作业许可管理培训合格并取得相应资质；杜绝无证上岗或变造伪造证件上岗⑤按照发包人要求主要工种技术工人经发包人技能验证通过后进场施工作业⑥现场管理及作业人员按照投标承诺或合同约定购买人身意外伤害险并负责理赔⑦对现场管理及作业人员进行体检，未体检或体检不合格的不得进场，杜绝变造伪造体检报告</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113"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机具设备</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进行施工设备机具报验、检验，不合格施工设备机具绝不投入使用②操作特种车辆③未经设计和批准，不擅自制作、使用自制机具（工具）④对施工机具、设备设施进行日常性检查⑤不超期使用特种设备⑥在防爆区域使用非防爆设备、机具⑦采用相应的防爆安全措施</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16"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公共安全</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严禁在岗饮酒,酒后上岗，在禁烟区域内吸烟②严禁擅自动用、停用或损坏在役的各类生产、安全设施以及工艺连锁装置、各类报警系统等③配备、检查应急救援、消防器材等物资④建立废弃物品处理台账⑤在规定场所处理检测后的废弃物品⑥在厂（场）区内使用车辆⑦禁止发生群体性事件；不得出现因合同纠纷等原因，产生的寻衅滋事、影响企业正常生产秩序和工程建设进度等情形的出现⑧不得拖欠农民工工资，防范讨薪事件的发生⑨严格按照规定进行辐射源的运输、存放和使用⑩严格按照规定进行爆破方案的编制、审批、实施</w:t>
            </w:r>
            <w:r>
              <w:rPr>
                <w:rFonts w:ascii="宋体" w:hAnsi="宋体" w:cs="宋体"/>
                <w:color w:val="auto"/>
                <w:kern w:val="0"/>
                <w:sz w:val="20"/>
                <w:szCs w:val="20"/>
              </w:rPr>
              <w:t>，</w:t>
            </w:r>
            <w:r>
              <w:rPr>
                <w:rFonts w:hint="eastAsia" w:ascii="宋体" w:hAnsi="宋体" w:cs="宋体"/>
                <w:color w:val="auto"/>
                <w:kern w:val="0"/>
                <w:sz w:val="20"/>
                <w:szCs w:val="20"/>
              </w:rPr>
              <w:t>以及炸药的购买、运输、存放和使用</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141"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劳动保护</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采购符合规范、要求的各项劳动防护用品并配置、发放、正确使用，严禁使用质量不合格的产品②受限空间作业环境中有毒化学品的浓度超过职业卫生接触限值或浓度未知的情况下，严格按照规定佩戴相应的呼吸保护设备③对在有毒、有害、腐蚀等介质和泄漏、窒息环境下从事危险作业的人员，严格按照规定正确配置并正确使用安全防护用具（品）</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38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综合管理</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编制施工方案并按照规定程序进行审查、修订、批准、实施②对施工方案组织专家进行论证③不擅自变更施工方案④在危险性较大的施工现场实施全程视频监控⑤执行政府、中国石化主管部门，以及发包人、项目管理方、监理人等下达的书面指令，并按要求限期完成或答复⑥在工程建设活动中绝不弄虚作假，不损害当事人利益⑦不捏造事实或者伪造材料或者以非法手段取得证明材料并进行恶意投诉或者索赔⑧在疫情期间，安排符合要求的人员及数量进入现场</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768"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文明施工</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按照规定：①施工现场设置安全生产宣传警示牌并进行封闭化管理②施工过程做到工完、料净、场地清③在施工现场设置水土保持、环境保护设施④在施工作业过程杜绝野蛮施工行为的发生</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56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应急管理</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编制、演练应急预案；出现紧急情况，按照应急预案要求及时处置，执行应急撤离指令</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6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高处作业</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安排适于高处作业的人员从事高处作业②高处作业人员正确佩戴、使用符合标准的安全带，防坠器或自锁器③格栅板、花纹板高处铺设作业采取有效保护措施④不在邻近地区设有排放有毒、有害气体及粉尘超出允许浓度的烟囱及设备的场合安排人员进行高处作业；在允许范围内进行高处作业，为作业人员配备必要的防护器具⑤雨、雪天高处作业时采取必要的防滑、防寒措施⑥暴风雪、台风、暴雨后，对作业安全设施进行检查，发现问题立即处理⑦同一垂直方向交叉作业，采取“错时错位硬隔离”的管理和技术措施⑧使用脚手架、吊笼、防护栏、梯子、移动式作业平台⑨临边及洞口四周设置防护栏、警示标志或覆盖⑩其他：30米以上进行高处作业配备通讯、联络工具，高处作业所用材料、工器具采取有效防坠落措施，高处作业与架空电线保持规定的安全距离，按规范搭设、拆除脚手架，严禁高空抛物</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77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有限空间作业</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受限空间内采取必要的通风措施；向受限空间内充氧气；使用安全电压和安全行灯；在作业前和作业中按规定进行气体检测；不得同时进行各类与该受限空间有关的试车、试压或试验；出入口内外不得有障碍物以防止阻碍人员出入和抢救疏散；在入口处设置警告牌以防止人员误进；人员佩戴便携式气体报警仪；施工用电电缆从人员入口进入受限空间采取有效保护措施；受限空间作业结束后进行全面检查，未清点人数和工具，人孔立即封闭②在带有转动部件的设备内作业，切断电源、摘除保险或挂接地线，在开关上挂“有人工作、严禁合闸”的警示牌</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748"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临时用电</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临时用电的电气设备周围不存放易燃易爆物、污源和腐蚀介质②在防爆场所使用的临时电源、电气元件和线路达到相应防爆等级要求，并采用相应的防爆安全措施③临时用电设施做到“一机一闸一保护”，开关箱和移动式、手持式电动工具安装符合规范要求的漏电保护器④临时用电的单相和混用线路采用五线制，接电规范⑤不擅自增加用电负荷或向其他单位转供电⑥施工过程中停工、人员离开时，立即切断临时用电开关⑦临时用电线路按规定要求铺设，设置警示和走向标志⑧现场临时用电配电盘、箱明确编号并采取有效防雨措施⑨使用安装漏电保护器的电器设备、电动工具及用电设施</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69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设施保护</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在确保地下电力电（光）缆、管线等设施已探测明确，地上地下线缆、管线、周边建筑和构筑物、设备等按照规定实施的保护措施已落实的前提下</w:t>
            </w:r>
            <w:r>
              <w:rPr>
                <w:rFonts w:ascii="宋体" w:hAnsi="宋体" w:cs="宋体"/>
                <w:color w:val="auto"/>
                <w:kern w:val="0"/>
                <w:sz w:val="20"/>
                <w:szCs w:val="20"/>
              </w:rPr>
              <w:t>，开始工程建设</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trike/>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trike/>
                <w:color w:val="auto"/>
                <w:kern w:val="0"/>
                <w:sz w:val="20"/>
                <w:szCs w:val="20"/>
              </w:rPr>
            </w:pPr>
          </w:p>
        </w:tc>
      </w:tr>
      <w:tr>
        <w:tblPrEx>
          <w:tblCellMar>
            <w:top w:w="0" w:type="dxa"/>
            <w:left w:w="108" w:type="dxa"/>
            <w:bottom w:w="0" w:type="dxa"/>
            <w:right w:w="108" w:type="dxa"/>
          </w:tblCellMar>
        </w:tblPrEx>
        <w:trPr>
          <w:trHeight w:val="841"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动土作业</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①按照规定、规范、标准、要求编制、审查、修订、批准设置安全边坡或固定支撑②动土开挖前，做好地面和地下排水工作，地面水不得渗入作业层面③动土开挖时采取防护措施并加强观测防止邻近建（构）筑物、道路、管道等下沉和变形④在坑、槽、井、沟的边缘安放机械、铺设轨道及通行车辆时，保持适当距离，采取有效的固壁措施⑤在拆除固壁支撑时，按照规定从下而上进行；更换支撑时，先装新的后拆旧的⑥基坑深度大于2m时按照规定设置应急逃生通道⑦由上至下逐层挖掘，不采用挖空底脚和挖洞的方法进行挖掘⑧使用的材料、挖出的泥土不堆放在距坑、槽、井、沟边沿0.8m内，堆土高度小于1.5米⑨按照标准规范及施工方案开展顶管、深基坑、桩基、人工挖孔等特殊动土作业⑩不在土壁上挖洞攀登</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27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起重作业</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正式起吊前进行试吊②检查机具、地锚受力情况③起重吊具或吊索等选用符合要求，使用规范，操作得当④起重作业面内没有无关人员、吊物上无人、浮置物时不进行起重操作⑤使用起重机械起吊不超载、重量清楚的物品和埋置物体⑥起重机械及其臂架、吊具、辅具、钢丝绳、缆风绳和吊物不靠近高低压输电线路，并保持足够的安全距离⑦起重指挥人员指挥得当，操作人员听从指挥作业⑧停工或休息时，吊物、吊笼、吊具和吊索不悬吊在空中⑨起重设施或设备、用具完好，且经检验合格⑩其他：起重设施或设备、用具完好，且经检验合格；不违规使用起重机械移送人员；起重机支脚下使用垫木、垫板且符合规定要求；起重作业时，配备指挥人员、司索人员、起重机械操作人员等</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497"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用火作业</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在用火前清除现场可燃物，并采取有效隔离措施，配备消防器材②在用火范围（含受限空间）内及用火点下方不同时进行易燃易爆相关作业③制定防火花措施并落实到位④气焊器材接管使用管夹，且连接不牢固⑤气瓶摆放规范（间距5米、乙炔瓶卧放）、严禁暴晒⑥气瓶及其附件（压力表、胶管、减压阀、阻火器等）完好，严禁超期使用⑦进行风险识别，制定风险防控措施</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123"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作业要求</w:t>
            </w:r>
          </w:p>
        </w:tc>
        <w:tc>
          <w:tcPr>
            <w:tcW w:w="10962"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按照规定：①遇有恶劣气象条件时，停止起重、用火作业、高处作业或攀登等②高风险作业区设置警戒、标识、隔离设施③进行现场监护且不擅离职守④严格进行技术、安全交底后，方可开始施工作业⑤作业前或作业中断后再次作业时，责任人进行安全措施确认⑥无许可或未办理作业票不进行作业</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26"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10962" w:type="dxa"/>
            <w:gridSpan w:val="2"/>
            <w:tcBorders>
              <w:top w:val="nil"/>
              <w:left w:val="nil"/>
              <w:bottom w:val="single" w:color="auto" w:sz="4" w:space="0"/>
              <w:right w:val="single" w:color="auto" w:sz="4" w:space="0"/>
            </w:tcBorders>
            <w:shd w:val="clear" w:color="auto" w:fill="auto"/>
            <w:vAlign w:val="center"/>
          </w:tcPr>
          <w:p>
            <w:pPr>
              <w:widowControl/>
              <w:ind w:right="400"/>
              <w:jc w:val="right"/>
              <w:rPr>
                <w:rFonts w:ascii="宋体" w:hAnsi="宋体" w:cs="宋体"/>
                <w:b/>
                <w:color w:val="auto"/>
                <w:kern w:val="0"/>
                <w:sz w:val="20"/>
                <w:szCs w:val="20"/>
              </w:rPr>
            </w:pPr>
            <w:r>
              <w:rPr>
                <w:rFonts w:hint="eastAsia" w:ascii="宋体" w:hAnsi="宋体" w:cs="宋体"/>
                <w:b/>
                <w:color w:val="auto"/>
                <w:kern w:val="0"/>
                <w:sz w:val="20"/>
                <w:szCs w:val="20"/>
              </w:rPr>
              <w:t>响应</w:t>
            </w:r>
            <w:r>
              <w:rPr>
                <w:rFonts w:ascii="宋体" w:hAnsi="宋体" w:cs="宋体"/>
                <w:b/>
                <w:color w:val="auto"/>
                <w:kern w:val="0"/>
                <w:sz w:val="20"/>
                <w:szCs w:val="20"/>
              </w:rPr>
              <w:t>评审项</w:t>
            </w:r>
            <w:r>
              <w:rPr>
                <w:rFonts w:hint="eastAsia" w:ascii="宋体" w:hAnsi="宋体" w:cs="宋体"/>
                <w:b/>
                <w:color w:val="auto"/>
                <w:kern w:val="0"/>
                <w:sz w:val="20"/>
                <w:szCs w:val="20"/>
              </w:rPr>
              <w:t>得分</w:t>
            </w:r>
            <w:r>
              <w:rPr>
                <w:rFonts w:ascii="宋体" w:hAnsi="宋体" w:cs="宋体"/>
                <w:b/>
                <w:color w:val="auto"/>
                <w:kern w:val="0"/>
                <w:sz w:val="20"/>
                <w:szCs w:val="20"/>
              </w:rPr>
              <w:t>合计</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426"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b/>
                <w:color w:val="auto"/>
                <w:kern w:val="0"/>
                <w:sz w:val="20"/>
                <w:szCs w:val="20"/>
              </w:rPr>
              <w:t>二</w:t>
            </w:r>
          </w:p>
        </w:tc>
        <w:tc>
          <w:tcPr>
            <w:tcW w:w="11670" w:type="dxa"/>
            <w:gridSpan w:val="3"/>
            <w:tcBorders>
              <w:top w:val="nil"/>
              <w:left w:val="nil"/>
              <w:bottom w:val="single" w:color="auto" w:sz="4" w:space="0"/>
              <w:right w:val="single" w:color="auto" w:sz="4" w:space="0"/>
            </w:tcBorders>
            <w:shd w:val="clear" w:color="auto" w:fill="auto"/>
            <w:vAlign w:val="center"/>
          </w:tcPr>
          <w:p>
            <w:pPr>
              <w:widowControl/>
              <w:ind w:right="400"/>
              <w:rPr>
                <w:rFonts w:ascii="宋体" w:hAnsi="宋体" w:cs="宋体"/>
                <w:b/>
                <w:color w:val="auto"/>
                <w:kern w:val="0"/>
                <w:sz w:val="20"/>
                <w:szCs w:val="20"/>
              </w:rPr>
            </w:pPr>
            <w:r>
              <w:rPr>
                <w:rFonts w:hint="eastAsia" w:ascii="宋体" w:hAnsi="宋体" w:cs="宋体"/>
                <w:b/>
                <w:color w:val="auto"/>
                <w:kern w:val="0"/>
                <w:sz w:val="20"/>
                <w:szCs w:val="20"/>
              </w:rPr>
              <w:t>管控方案评审项（70分）</w:t>
            </w:r>
          </w:p>
        </w:tc>
        <w:tc>
          <w:tcPr>
            <w:tcW w:w="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25"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评审项目</w:t>
            </w:r>
          </w:p>
        </w:tc>
        <w:tc>
          <w:tcPr>
            <w:tcW w:w="8836" w:type="dxa"/>
            <w:tcBorders>
              <w:top w:val="single" w:color="auto" w:sz="4" w:space="0"/>
              <w:left w:val="nil"/>
              <w:bottom w:val="nil"/>
              <w:right w:val="single" w:color="auto" w:sz="4" w:space="0"/>
            </w:tcBorders>
            <w:shd w:val="clear" w:color="000000" w:fill="F2F2F2"/>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评审标准</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标准分</w:t>
            </w:r>
          </w:p>
        </w:tc>
        <w:tc>
          <w:tcPr>
            <w:tcW w:w="8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投标人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得分</w:t>
            </w:r>
          </w:p>
        </w:tc>
      </w:tr>
      <w:tr>
        <w:tblPrEx>
          <w:tblCellMar>
            <w:top w:w="0" w:type="dxa"/>
            <w:left w:w="108" w:type="dxa"/>
            <w:bottom w:w="0" w:type="dxa"/>
            <w:right w:w="108" w:type="dxa"/>
          </w:tblCellMar>
        </w:tblPrEx>
        <w:trPr>
          <w:trHeight w:val="1042"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HSE管理组织机构策划</w:t>
            </w:r>
          </w:p>
        </w:tc>
        <w:tc>
          <w:tcPr>
            <w:tcW w:w="8836" w:type="dxa"/>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从本项目HSE组织机构及责任的涵盖面、明确性、针对性等方面综合评审：好8-10分，较好6-8分，有多处细微瑕疵3-6分，有较大瑕疵1-3分，无此项内容0分</w:t>
            </w:r>
          </w:p>
          <w:p>
            <w:pPr>
              <w:widowControl/>
              <w:jc w:val="left"/>
              <w:rPr>
                <w:rFonts w:ascii="宋体" w:hAnsi="宋体" w:cs="宋体"/>
                <w:color w:val="auto"/>
                <w:kern w:val="0"/>
                <w:sz w:val="20"/>
                <w:szCs w:val="20"/>
              </w:rPr>
            </w:pPr>
            <w:r>
              <w:rPr>
                <w:rFonts w:hint="eastAsia" w:ascii="楷体" w:hAnsi="楷体" w:eastAsia="楷体" w:cs="宋体"/>
                <w:color w:val="auto"/>
                <w:kern w:val="0"/>
                <w:sz w:val="20"/>
                <w:szCs w:val="20"/>
              </w:rPr>
              <w:t>[言简意赅、准确明了；见HSE管理组织机构策划]</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111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HSE风险初步识别</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从本项目HSE危险源、环境因素辨识与风险识别的针对性、准确性等方面综合评审：好8-10分，较好6-8分，有多处细微瑕疵3-6分，有较大瑕疵1-3分，无此项内容0分</w:t>
            </w:r>
          </w:p>
          <w:p>
            <w:pPr>
              <w:widowControl/>
              <w:jc w:val="left"/>
              <w:rPr>
                <w:rFonts w:ascii="宋体" w:hAnsi="宋体" w:cs="宋体"/>
                <w:color w:val="auto"/>
                <w:kern w:val="0"/>
                <w:sz w:val="20"/>
                <w:szCs w:val="20"/>
              </w:rPr>
            </w:pPr>
            <w:r>
              <w:rPr>
                <w:rFonts w:hint="eastAsia" w:ascii="楷体" w:hAnsi="楷体" w:eastAsia="楷体" w:cs="宋体"/>
                <w:color w:val="auto"/>
                <w:kern w:val="0"/>
                <w:sz w:val="20"/>
                <w:szCs w:val="20"/>
              </w:rPr>
              <w:t xml:space="preserve"> [言简意赅、准确明了；见HSE风险初步识别]</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111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重点安全</w:t>
            </w:r>
            <w:r>
              <w:rPr>
                <w:rFonts w:ascii="宋体" w:hAnsi="宋体" w:cs="宋体"/>
                <w:color w:val="auto"/>
                <w:kern w:val="0"/>
                <w:sz w:val="20"/>
                <w:szCs w:val="20"/>
              </w:rPr>
              <w:t>保证措施</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从本项目重点安全</w:t>
            </w:r>
            <w:r>
              <w:rPr>
                <w:rFonts w:ascii="宋体" w:hAnsi="宋体" w:cs="宋体"/>
                <w:color w:val="auto"/>
                <w:kern w:val="0"/>
                <w:sz w:val="20"/>
                <w:szCs w:val="20"/>
              </w:rPr>
              <w:t>生产</w:t>
            </w:r>
            <w:r>
              <w:rPr>
                <w:rFonts w:hint="eastAsia" w:ascii="宋体" w:hAnsi="宋体" w:cs="宋体"/>
                <w:color w:val="auto"/>
                <w:kern w:val="0"/>
                <w:sz w:val="20"/>
                <w:szCs w:val="20"/>
              </w:rPr>
              <w:t>风险源管控策略、</w:t>
            </w:r>
            <w:r>
              <w:rPr>
                <w:rFonts w:ascii="宋体" w:hAnsi="宋体" w:cs="宋体"/>
                <w:color w:val="auto"/>
                <w:kern w:val="0"/>
                <w:sz w:val="20"/>
                <w:szCs w:val="20"/>
              </w:rPr>
              <w:t>措施</w:t>
            </w:r>
            <w:r>
              <w:rPr>
                <w:rFonts w:hint="eastAsia" w:ascii="宋体" w:hAnsi="宋体" w:cs="宋体"/>
                <w:color w:val="auto"/>
                <w:kern w:val="0"/>
                <w:sz w:val="20"/>
                <w:szCs w:val="20"/>
              </w:rPr>
              <w:t>的科学、合理、针对性等方面综合评审：好</w:t>
            </w:r>
            <w:r>
              <w:rPr>
                <w:rFonts w:ascii="宋体" w:hAnsi="宋体" w:cs="宋体"/>
                <w:color w:val="auto"/>
                <w:kern w:val="0"/>
                <w:sz w:val="20"/>
                <w:szCs w:val="20"/>
              </w:rPr>
              <w:t>13</w:t>
            </w:r>
            <w:r>
              <w:rPr>
                <w:rFonts w:hint="eastAsia" w:ascii="宋体" w:hAnsi="宋体" w:cs="宋体"/>
                <w:color w:val="auto"/>
                <w:kern w:val="0"/>
                <w:sz w:val="20"/>
                <w:szCs w:val="20"/>
              </w:rPr>
              <w:t>-</w:t>
            </w:r>
            <w:r>
              <w:rPr>
                <w:rFonts w:ascii="宋体" w:hAnsi="宋体" w:cs="宋体"/>
                <w:color w:val="auto"/>
                <w:kern w:val="0"/>
                <w:sz w:val="20"/>
                <w:szCs w:val="20"/>
              </w:rPr>
              <w:t>15</w:t>
            </w:r>
            <w:r>
              <w:rPr>
                <w:rFonts w:hint="eastAsia" w:ascii="宋体" w:hAnsi="宋体" w:cs="宋体"/>
                <w:color w:val="auto"/>
                <w:kern w:val="0"/>
                <w:sz w:val="20"/>
                <w:szCs w:val="20"/>
              </w:rPr>
              <w:t>分，较好</w:t>
            </w:r>
            <w:r>
              <w:rPr>
                <w:rFonts w:ascii="宋体" w:hAnsi="宋体" w:cs="宋体"/>
                <w:color w:val="auto"/>
                <w:kern w:val="0"/>
                <w:sz w:val="20"/>
                <w:szCs w:val="20"/>
              </w:rPr>
              <w:t>10</w:t>
            </w:r>
            <w:r>
              <w:rPr>
                <w:rFonts w:hint="eastAsia" w:ascii="宋体" w:hAnsi="宋体" w:cs="宋体"/>
                <w:color w:val="auto"/>
                <w:kern w:val="0"/>
                <w:sz w:val="20"/>
                <w:szCs w:val="20"/>
              </w:rPr>
              <w:t>-</w:t>
            </w:r>
            <w:r>
              <w:rPr>
                <w:rFonts w:ascii="宋体" w:hAnsi="宋体" w:cs="宋体"/>
                <w:color w:val="auto"/>
                <w:kern w:val="0"/>
                <w:sz w:val="20"/>
                <w:szCs w:val="20"/>
              </w:rPr>
              <w:t>13</w:t>
            </w:r>
            <w:r>
              <w:rPr>
                <w:rFonts w:hint="eastAsia" w:ascii="宋体" w:hAnsi="宋体" w:cs="宋体"/>
                <w:color w:val="auto"/>
                <w:kern w:val="0"/>
                <w:sz w:val="20"/>
                <w:szCs w:val="20"/>
              </w:rPr>
              <w:t>分，有多项瑕疵</w:t>
            </w:r>
            <w:r>
              <w:rPr>
                <w:rFonts w:ascii="宋体" w:hAnsi="宋体" w:cs="宋体"/>
                <w:color w:val="auto"/>
                <w:kern w:val="0"/>
                <w:sz w:val="20"/>
                <w:szCs w:val="20"/>
              </w:rPr>
              <w:t>5</w:t>
            </w:r>
            <w:r>
              <w:rPr>
                <w:rFonts w:hint="eastAsia" w:ascii="宋体" w:hAnsi="宋体" w:cs="宋体"/>
                <w:color w:val="auto"/>
                <w:kern w:val="0"/>
                <w:sz w:val="20"/>
                <w:szCs w:val="20"/>
              </w:rPr>
              <w:t>-</w:t>
            </w:r>
            <w:r>
              <w:rPr>
                <w:rFonts w:ascii="宋体" w:hAnsi="宋体" w:cs="宋体"/>
                <w:color w:val="auto"/>
                <w:kern w:val="0"/>
                <w:sz w:val="20"/>
                <w:szCs w:val="20"/>
              </w:rPr>
              <w:t>10</w:t>
            </w:r>
            <w:r>
              <w:rPr>
                <w:rFonts w:hint="eastAsia" w:ascii="宋体" w:hAnsi="宋体" w:cs="宋体"/>
                <w:color w:val="auto"/>
                <w:kern w:val="0"/>
                <w:sz w:val="20"/>
                <w:szCs w:val="20"/>
              </w:rPr>
              <w:t>分，有较大瑕疵1-</w:t>
            </w:r>
            <w:r>
              <w:rPr>
                <w:rFonts w:ascii="宋体" w:hAnsi="宋体" w:cs="宋体"/>
                <w:color w:val="auto"/>
                <w:kern w:val="0"/>
                <w:sz w:val="20"/>
                <w:szCs w:val="20"/>
              </w:rPr>
              <w:t>5</w:t>
            </w:r>
            <w:r>
              <w:rPr>
                <w:rFonts w:hint="eastAsia" w:ascii="宋体" w:hAnsi="宋体" w:cs="宋体"/>
                <w:color w:val="auto"/>
                <w:kern w:val="0"/>
                <w:sz w:val="20"/>
                <w:szCs w:val="20"/>
              </w:rPr>
              <w:t>分，无此项内容0分</w:t>
            </w:r>
          </w:p>
          <w:p>
            <w:pPr>
              <w:widowControl/>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楷体" w:hAnsi="楷体" w:eastAsia="楷体" w:cs="宋体"/>
                <w:color w:val="auto"/>
                <w:kern w:val="0"/>
                <w:sz w:val="20"/>
                <w:szCs w:val="20"/>
              </w:rPr>
              <w:t>①言简意赅、准确明了②若存在多项风险源，选择1项进行阐述；见重点安全保证措施]</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1114"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4</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重点文明及环境保证措施</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从本项目重点文明施工及环境保护风险源管控策略、措施的科学、合理、针对性等方面综合评审：好8-10分，较好6-8分，有多处细微瑕疵3-6分，有较大瑕疵1-3分，无此项内容0分</w:t>
            </w:r>
          </w:p>
          <w:p>
            <w:pPr>
              <w:widowControl/>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楷体" w:hAnsi="楷体" w:eastAsia="楷体" w:cs="宋体"/>
                <w:color w:val="auto"/>
                <w:kern w:val="0"/>
                <w:sz w:val="20"/>
                <w:szCs w:val="20"/>
              </w:rPr>
              <w:t>①言简意赅、准确明了②若存在多项风险源，选择1项进行阐述；见重点文明及环境保证措施]</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797"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安全生产费和文明施工费</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专款专用方案</w:t>
            </w:r>
          </w:p>
        </w:tc>
        <w:tc>
          <w:tcPr>
            <w:tcW w:w="8836" w:type="dxa"/>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从本项目该费用的分类使用项目、用款计划、分包支付金额及计划、费用调整、审批及资金保障、监督及检查措施等是否合规、合理，重点是否明确，是否具有针对性等方面综合评审：</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好4-5分，较好3-4分，有多处细微瑕疵2-3分，有较大瑕疵0-1分，无此项内容0分</w:t>
            </w:r>
          </w:p>
          <w:p>
            <w:pPr>
              <w:widowControl/>
              <w:rPr>
                <w:rFonts w:ascii="宋体" w:hAnsi="宋体" w:cs="宋体"/>
                <w:color w:val="auto"/>
                <w:kern w:val="0"/>
                <w:sz w:val="20"/>
                <w:szCs w:val="20"/>
              </w:rPr>
            </w:pPr>
            <w:r>
              <w:rPr>
                <w:rFonts w:hint="eastAsia" w:ascii="楷体" w:hAnsi="楷体" w:eastAsia="楷体" w:cs="宋体"/>
                <w:color w:val="auto"/>
                <w:kern w:val="0"/>
                <w:sz w:val="20"/>
                <w:szCs w:val="20"/>
              </w:rPr>
              <w:t>[言简意赅、准确明了；见安全生产费和文明施工费专款专用方案]</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129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6</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分包商HSE管控要点</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从本项目施工专业</w:t>
            </w:r>
            <w:r>
              <w:rPr>
                <w:rFonts w:ascii="宋体" w:hAnsi="宋体" w:cs="宋体"/>
                <w:color w:val="auto"/>
                <w:kern w:val="0"/>
                <w:sz w:val="20"/>
                <w:szCs w:val="20"/>
              </w:rPr>
              <w:t>承包</w:t>
            </w:r>
            <w:r>
              <w:rPr>
                <w:rFonts w:hint="eastAsia" w:ascii="宋体" w:hAnsi="宋体" w:cs="宋体"/>
                <w:color w:val="auto"/>
                <w:kern w:val="0"/>
                <w:sz w:val="20"/>
                <w:szCs w:val="20"/>
              </w:rPr>
              <w:t>分包商（含EPC总承包</w:t>
            </w:r>
            <w:r>
              <w:rPr>
                <w:rFonts w:ascii="宋体" w:hAnsi="宋体" w:cs="宋体"/>
                <w:color w:val="auto"/>
                <w:kern w:val="0"/>
                <w:sz w:val="20"/>
                <w:szCs w:val="20"/>
              </w:rPr>
              <w:t>下的施工总承包</w:t>
            </w:r>
            <w:r>
              <w:rPr>
                <w:rFonts w:hint="eastAsia" w:ascii="宋体" w:hAnsi="宋体" w:cs="宋体"/>
                <w:color w:val="auto"/>
                <w:kern w:val="0"/>
                <w:sz w:val="20"/>
                <w:szCs w:val="20"/>
              </w:rPr>
              <w:t>分包商）HSE管控要点的科学、合理、针对性等方面综合评审：好8-10分，较好6-8分，有多处细微瑕疵3-6分，有较大瑕疵1-3分，无此项内容0分</w:t>
            </w:r>
          </w:p>
          <w:p>
            <w:pPr>
              <w:widowControl/>
              <w:rPr>
                <w:rFonts w:ascii="宋体" w:hAnsi="宋体" w:cs="宋体"/>
                <w:color w:val="auto"/>
                <w:kern w:val="0"/>
                <w:sz w:val="20"/>
                <w:szCs w:val="20"/>
              </w:rPr>
            </w:pPr>
            <w:r>
              <w:rPr>
                <w:rFonts w:hint="eastAsia" w:ascii="楷体" w:hAnsi="楷体" w:eastAsia="楷体" w:cs="宋体"/>
                <w:color w:val="auto"/>
                <w:kern w:val="0"/>
                <w:sz w:val="20"/>
                <w:szCs w:val="20"/>
              </w:rPr>
              <w:t>[言简意赅、准确明了；见分包商HSE管控要点]</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656"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7</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HSE管理意见</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HSE管理合理化意见有实质性、针对性的建议：一项得1分，满分</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rPr>
                <w:rFonts w:ascii="宋体" w:hAnsi="宋体" w:cs="宋体"/>
                <w:color w:val="auto"/>
                <w:kern w:val="0"/>
                <w:sz w:val="20"/>
                <w:szCs w:val="20"/>
              </w:rPr>
            </w:pPr>
            <w:r>
              <w:rPr>
                <w:rFonts w:hint="eastAsia" w:ascii="楷体" w:hAnsi="楷体" w:eastAsia="楷体" w:cs="宋体"/>
                <w:color w:val="auto"/>
                <w:kern w:val="0"/>
                <w:sz w:val="20"/>
                <w:szCs w:val="20"/>
              </w:rPr>
              <w:t>[言简意赅、准确明了；见HSE管理合理化意见]</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129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8</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安全负责人业绩</w:t>
            </w:r>
          </w:p>
        </w:tc>
        <w:tc>
          <w:tcPr>
            <w:tcW w:w="8836" w:type="dxa"/>
            <w:tcBorders>
              <w:top w:val="single" w:color="auto" w:sz="4" w:space="0"/>
              <w:left w:val="nil"/>
              <w:bottom w:val="nil"/>
              <w:right w:val="single" w:color="auto" w:sz="4" w:space="0"/>
            </w:tcBorders>
            <w:shd w:val="clear" w:color="000000" w:fill="F2F2F2"/>
            <w:vAlign w:val="center"/>
          </w:tcPr>
          <w:p>
            <w:pPr>
              <w:widowControl/>
              <w:snapToGrid w:val="0"/>
              <w:rPr>
                <w:rFonts w:ascii="宋体" w:hAnsi="宋体" w:cs="宋体"/>
                <w:color w:val="auto"/>
                <w:kern w:val="0"/>
                <w:sz w:val="20"/>
                <w:szCs w:val="20"/>
              </w:rPr>
            </w:pPr>
            <w:r>
              <w:rPr>
                <w:rFonts w:ascii="宋体" w:hAnsi="宋体" w:cs="宋体"/>
                <w:color w:val="auto"/>
                <w:kern w:val="0"/>
              </w:rPr>
              <w:t>xx年以来</w:t>
            </w:r>
            <w:r>
              <w:rPr>
                <w:rFonts w:hint="eastAsia" w:ascii="宋体" w:hAnsi="宋体" w:cs="宋体"/>
                <w:color w:val="auto"/>
                <w:kern w:val="0"/>
              </w:rPr>
              <w:t>有</w:t>
            </w:r>
            <w:r>
              <w:rPr>
                <w:rFonts w:ascii="宋体" w:hAnsi="宋体" w:cs="宋体"/>
                <w:color w:val="auto"/>
                <w:kern w:val="0"/>
              </w:rPr>
              <w:t>单项</w:t>
            </w:r>
            <w:r>
              <w:rPr>
                <w:rFonts w:hint="eastAsia" w:ascii="宋体" w:hAnsi="宋体" w:cs="宋体"/>
                <w:color w:val="auto"/>
                <w:kern w:val="0"/>
              </w:rPr>
              <w:t>合同</w:t>
            </w:r>
            <w:r>
              <w:rPr>
                <w:rFonts w:ascii="宋体" w:hAnsi="宋体" w:cs="宋体"/>
                <w:color w:val="auto"/>
                <w:kern w:val="0"/>
              </w:rPr>
              <w:t>金额≥</w:t>
            </w:r>
            <w:r>
              <w:rPr>
                <w:rFonts w:hint="eastAsia" w:ascii="宋体" w:hAnsi="宋体" w:cs="宋体"/>
                <w:color w:val="auto"/>
                <w:kern w:val="0"/>
              </w:rPr>
              <w:t>xx</w:t>
            </w:r>
            <w:r>
              <w:rPr>
                <w:rFonts w:ascii="宋体" w:hAnsi="宋体" w:cs="宋体"/>
                <w:color w:val="auto"/>
                <w:kern w:val="0"/>
              </w:rPr>
              <w:t>万元的</w:t>
            </w:r>
            <w:r>
              <w:rPr>
                <w:rFonts w:hint="eastAsia" w:ascii="宋体" w:hAnsi="宋体" w:cs="宋体"/>
                <w:color w:val="auto"/>
                <w:kern w:val="0"/>
              </w:rPr>
              <w:t>（同类</w:t>
            </w:r>
            <w:r>
              <w:rPr>
                <w:rFonts w:ascii="宋体" w:hAnsi="宋体" w:cs="宋体"/>
                <w:color w:val="auto"/>
                <w:kern w:val="0"/>
              </w:rPr>
              <w:t>工程</w:t>
            </w:r>
            <w:r>
              <w:rPr>
                <w:rFonts w:hint="eastAsia" w:ascii="宋体" w:hAnsi="宋体" w:cs="宋体"/>
                <w:color w:val="auto"/>
                <w:kern w:val="0"/>
              </w:rPr>
              <w:t>描述）（招标</w:t>
            </w:r>
            <w:r>
              <w:rPr>
                <w:rFonts w:ascii="宋体" w:hAnsi="宋体" w:cs="宋体"/>
                <w:color w:val="auto"/>
                <w:kern w:val="0"/>
              </w:rPr>
              <w:t>项目类</w:t>
            </w:r>
            <w:r>
              <w:rPr>
                <w:rFonts w:hint="eastAsia" w:ascii="宋体" w:hAnsi="宋体" w:cs="宋体"/>
                <w:color w:val="auto"/>
                <w:kern w:val="0"/>
              </w:rPr>
              <w:t>别）项目安全负责人执业</w:t>
            </w:r>
            <w:r>
              <w:rPr>
                <w:rFonts w:ascii="宋体" w:hAnsi="宋体" w:cs="宋体"/>
                <w:color w:val="auto"/>
                <w:kern w:val="0"/>
              </w:rPr>
              <w:t>业绩</w:t>
            </w:r>
            <w:r>
              <w:rPr>
                <w:rFonts w:hint="eastAsia" w:ascii="宋体" w:hAnsi="宋体" w:cs="宋体"/>
                <w:color w:val="auto"/>
                <w:kern w:val="0"/>
                <w:sz w:val="20"/>
                <w:szCs w:val="20"/>
              </w:rPr>
              <w:t>：每项</w:t>
            </w:r>
            <w:r>
              <w:rPr>
                <w:rFonts w:ascii="宋体" w:hAnsi="宋体" w:cs="宋体"/>
                <w:color w:val="auto"/>
                <w:kern w:val="0"/>
                <w:sz w:val="20"/>
                <w:szCs w:val="20"/>
              </w:rPr>
              <w:t>2</w:t>
            </w:r>
            <w:r>
              <w:rPr>
                <w:rFonts w:hint="eastAsia" w:ascii="宋体" w:hAnsi="宋体" w:cs="宋体"/>
                <w:color w:val="auto"/>
                <w:kern w:val="0"/>
                <w:sz w:val="20"/>
                <w:szCs w:val="20"/>
              </w:rPr>
              <w:t>分，满分</w:t>
            </w:r>
            <w:r>
              <w:rPr>
                <w:rFonts w:ascii="宋体" w:hAnsi="宋体" w:cs="宋体"/>
                <w:color w:val="auto"/>
                <w:kern w:val="0"/>
                <w:sz w:val="20"/>
                <w:szCs w:val="20"/>
              </w:rPr>
              <w:t>6</w:t>
            </w:r>
            <w:r>
              <w:rPr>
                <w:rFonts w:hint="eastAsia" w:ascii="宋体" w:hAnsi="宋体" w:cs="宋体"/>
                <w:color w:val="auto"/>
                <w:kern w:val="0"/>
                <w:sz w:val="20"/>
                <w:szCs w:val="20"/>
              </w:rPr>
              <w:t>分</w:t>
            </w:r>
          </w:p>
          <w:p>
            <w:pPr>
              <w:widowControl/>
              <w:snapToGrid w:val="0"/>
              <w:rPr>
                <w:rFonts w:ascii="华文楷体" w:hAnsi="华文楷体" w:eastAsia="华文楷体"/>
                <w:color w:val="auto"/>
                <w:sz w:val="18"/>
                <w:szCs w:val="18"/>
              </w:rPr>
            </w:pPr>
            <w:r>
              <w:rPr>
                <w:rFonts w:hint="eastAsia" w:ascii="华文楷体" w:hAnsi="华文楷体" w:eastAsia="华文楷体"/>
                <w:color w:val="auto"/>
                <w:sz w:val="18"/>
                <w:szCs w:val="18"/>
              </w:rPr>
              <w:t>【（1）</w:t>
            </w:r>
            <w:r>
              <w:rPr>
                <w:rFonts w:ascii="华文楷体" w:hAnsi="华文楷体" w:eastAsia="华文楷体"/>
                <w:color w:val="auto"/>
                <w:sz w:val="18"/>
                <w:szCs w:val="18"/>
              </w:rPr>
              <w:t>提供1项</w:t>
            </w:r>
            <w:r>
              <w:rPr>
                <w:rFonts w:hint="eastAsia" w:ascii="华文楷体" w:hAnsi="华文楷体" w:eastAsia="华文楷体"/>
                <w:color w:val="auto"/>
                <w:sz w:val="18"/>
                <w:szCs w:val="18"/>
              </w:rPr>
              <w:t>，</w:t>
            </w:r>
            <w:r>
              <w:rPr>
                <w:rFonts w:ascii="华文楷体" w:hAnsi="华文楷体" w:eastAsia="华文楷体"/>
                <w:color w:val="auto"/>
                <w:sz w:val="18"/>
                <w:szCs w:val="18"/>
              </w:rPr>
              <w:t>见扫描件</w:t>
            </w:r>
          </w:p>
          <w:p>
            <w:pPr>
              <w:widowControl/>
              <w:snapToGrid w:val="0"/>
              <w:rPr>
                <w:rFonts w:ascii="华文楷体" w:hAnsi="华文楷体" w:eastAsia="华文楷体"/>
                <w:bCs/>
                <w:color w:val="auto"/>
                <w:sz w:val="18"/>
                <w:szCs w:val="18"/>
              </w:rPr>
            </w:pPr>
            <w:r>
              <w:rPr>
                <w:rFonts w:hint="eastAsia" w:ascii="华文楷体" w:hAnsi="华文楷体" w:eastAsia="华文楷体"/>
                <w:color w:val="auto"/>
                <w:sz w:val="18"/>
                <w:szCs w:val="18"/>
              </w:rPr>
              <w:t>（2）</w:t>
            </w:r>
            <w:r>
              <w:rPr>
                <w:rFonts w:ascii="华文楷体" w:hAnsi="华文楷体" w:eastAsia="华文楷体"/>
                <w:color w:val="auto"/>
                <w:sz w:val="18"/>
                <w:szCs w:val="18"/>
              </w:rPr>
              <w:t>xx年以来</w:t>
            </w:r>
            <w:r>
              <w:rPr>
                <w:rFonts w:ascii="华文楷体" w:hAnsi="华文楷体" w:eastAsia="华文楷体"/>
                <w:bCs/>
                <w:color w:val="auto"/>
                <w:sz w:val="18"/>
                <w:szCs w:val="18"/>
              </w:rPr>
              <w:t>……</w:t>
            </w:r>
            <w:r>
              <w:rPr>
                <w:rFonts w:hint="eastAsia" w:ascii="华文楷体" w:hAnsi="华文楷体" w:eastAsia="华文楷体"/>
                <w:bCs/>
                <w:color w:val="auto"/>
                <w:sz w:val="18"/>
                <w:szCs w:val="18"/>
              </w:rPr>
              <w:t>：以合同签订</w:t>
            </w:r>
            <w:r>
              <w:rPr>
                <w:rFonts w:ascii="华文楷体" w:hAnsi="华文楷体" w:eastAsia="华文楷体"/>
                <w:bCs/>
                <w:color w:val="auto"/>
                <w:sz w:val="18"/>
                <w:szCs w:val="18"/>
              </w:rPr>
              <w:t>生效</w:t>
            </w:r>
            <w:r>
              <w:rPr>
                <w:rFonts w:hint="eastAsia" w:ascii="华文楷体" w:hAnsi="华文楷体" w:eastAsia="华文楷体"/>
                <w:bCs/>
                <w:color w:val="auto"/>
                <w:sz w:val="18"/>
                <w:szCs w:val="18"/>
              </w:rPr>
              <w:t>日期为准/以xx</w:t>
            </w:r>
            <w:r>
              <w:rPr>
                <w:rFonts w:ascii="华文楷体" w:hAnsi="华文楷体" w:eastAsia="华文楷体"/>
                <w:bCs/>
                <w:color w:val="auto"/>
                <w:sz w:val="18"/>
                <w:szCs w:val="18"/>
              </w:rPr>
              <w:t>验收</w:t>
            </w:r>
            <w:r>
              <w:rPr>
                <w:rFonts w:hint="eastAsia" w:ascii="华文楷体" w:hAnsi="华文楷体" w:eastAsia="华文楷体"/>
                <w:bCs/>
                <w:color w:val="auto"/>
                <w:sz w:val="18"/>
                <w:szCs w:val="18"/>
              </w:rPr>
              <w:t>日期为准</w:t>
            </w:r>
          </w:p>
          <w:p>
            <w:pPr>
              <w:widowControl/>
              <w:snapToGrid w:val="0"/>
              <w:rPr>
                <w:rFonts w:ascii="华文楷体" w:hAnsi="华文楷体" w:eastAsia="华文楷体"/>
                <w:color w:val="auto"/>
                <w:sz w:val="18"/>
                <w:szCs w:val="18"/>
              </w:rPr>
            </w:pPr>
            <w:r>
              <w:rPr>
                <w:rFonts w:hint="eastAsia" w:ascii="华文楷体" w:hAnsi="华文楷体" w:eastAsia="华文楷体"/>
                <w:bCs/>
                <w:color w:val="auto"/>
                <w:sz w:val="18"/>
                <w:szCs w:val="18"/>
              </w:rPr>
              <w:t>（3）提供</w:t>
            </w:r>
            <w:r>
              <w:rPr>
                <w:rFonts w:ascii="华文楷体" w:hAnsi="华文楷体" w:eastAsia="华文楷体"/>
                <w:bCs/>
                <w:color w:val="auto"/>
                <w:sz w:val="18"/>
                <w:szCs w:val="18"/>
              </w:rPr>
              <w:t>验收证书</w:t>
            </w:r>
            <w:r>
              <w:rPr>
                <w:rFonts w:hint="eastAsia" w:ascii="华文楷体" w:hAnsi="华文楷体" w:eastAsia="华文楷体"/>
                <w:bCs/>
                <w:color w:val="auto"/>
                <w:sz w:val="18"/>
                <w:szCs w:val="18"/>
              </w:rPr>
              <w:t>（适用于以xx</w:t>
            </w:r>
            <w:r>
              <w:rPr>
                <w:rFonts w:ascii="华文楷体" w:hAnsi="华文楷体" w:eastAsia="华文楷体"/>
                <w:bCs/>
                <w:color w:val="auto"/>
                <w:sz w:val="18"/>
                <w:szCs w:val="18"/>
              </w:rPr>
              <w:t>验收</w:t>
            </w:r>
            <w:r>
              <w:rPr>
                <w:rFonts w:hint="eastAsia" w:ascii="华文楷体" w:hAnsi="华文楷体" w:eastAsia="华文楷体"/>
                <w:bCs/>
                <w:color w:val="auto"/>
                <w:sz w:val="18"/>
                <w:szCs w:val="18"/>
              </w:rPr>
              <w:t>日期为准的</w:t>
            </w:r>
            <w:r>
              <w:rPr>
                <w:rFonts w:ascii="华文楷体" w:hAnsi="华文楷体" w:eastAsia="华文楷体"/>
                <w:bCs/>
                <w:color w:val="auto"/>
                <w:sz w:val="18"/>
                <w:szCs w:val="18"/>
              </w:rPr>
              <w:t>情形</w:t>
            </w:r>
            <w:r>
              <w:rPr>
                <w:rFonts w:hint="eastAsia" w:ascii="华文楷体" w:hAnsi="华文楷体" w:eastAsia="华文楷体"/>
                <w:bCs/>
                <w:color w:val="auto"/>
                <w:sz w:val="18"/>
                <w:szCs w:val="18"/>
              </w:rPr>
              <w:t>）、工程合同关键页（封面、人员岗位</w:t>
            </w:r>
            <w:r>
              <w:rPr>
                <w:rFonts w:ascii="华文楷体" w:hAnsi="华文楷体" w:eastAsia="华文楷体"/>
                <w:bCs/>
                <w:color w:val="auto"/>
                <w:sz w:val="18"/>
                <w:szCs w:val="18"/>
              </w:rPr>
              <w:t>及姓名、</w:t>
            </w:r>
            <w:r>
              <w:rPr>
                <w:rFonts w:hint="eastAsia" w:ascii="华文楷体" w:hAnsi="华文楷体" w:eastAsia="华文楷体"/>
                <w:bCs/>
                <w:color w:val="auto"/>
                <w:sz w:val="18"/>
                <w:szCs w:val="18"/>
              </w:rPr>
              <w:t>合同</w:t>
            </w:r>
            <w:r>
              <w:rPr>
                <w:rFonts w:ascii="华文楷体" w:hAnsi="华文楷体" w:eastAsia="华文楷体"/>
                <w:bCs/>
                <w:color w:val="auto"/>
                <w:sz w:val="18"/>
                <w:szCs w:val="18"/>
              </w:rPr>
              <w:t>双方</w:t>
            </w:r>
            <w:r>
              <w:rPr>
                <w:rFonts w:hint="eastAsia" w:ascii="华文楷体" w:hAnsi="华文楷体" w:eastAsia="华文楷体"/>
                <w:bCs/>
                <w:color w:val="auto"/>
                <w:sz w:val="18"/>
                <w:szCs w:val="18"/>
              </w:rPr>
              <w:t>盖章签字、工程规模（若项目</w:t>
            </w:r>
            <w:r>
              <w:rPr>
                <w:rFonts w:ascii="华文楷体" w:hAnsi="华文楷体" w:eastAsia="华文楷体"/>
                <w:bCs/>
                <w:color w:val="auto"/>
                <w:sz w:val="18"/>
                <w:szCs w:val="18"/>
              </w:rPr>
              <w:t>业绩有要求</w:t>
            </w:r>
            <w:r>
              <w:rPr>
                <w:rFonts w:hint="eastAsia" w:ascii="华文楷体" w:hAnsi="华文楷体" w:eastAsia="华文楷体"/>
                <w:bCs/>
                <w:color w:val="auto"/>
                <w:sz w:val="18"/>
                <w:szCs w:val="18"/>
              </w:rPr>
              <w:t>）、承包范围、合同金额等页面</w:t>
            </w:r>
            <w:r>
              <w:rPr>
                <w:rFonts w:ascii="华文楷体" w:hAnsi="华文楷体" w:eastAsia="华文楷体"/>
                <w:bCs/>
                <w:color w:val="auto"/>
                <w:sz w:val="18"/>
                <w:szCs w:val="18"/>
              </w:rPr>
              <w:t>）</w:t>
            </w:r>
            <w:r>
              <w:rPr>
                <w:rFonts w:hint="eastAsia" w:ascii="华文楷体" w:hAnsi="华文楷体" w:eastAsia="华文楷体"/>
                <w:bCs/>
                <w:color w:val="auto"/>
                <w:sz w:val="18"/>
                <w:szCs w:val="18"/>
              </w:rPr>
              <w:t>，以及结算书等能确定合同金额的证明材料（适用于</w:t>
            </w:r>
            <w:r>
              <w:rPr>
                <w:rFonts w:ascii="华文楷体" w:hAnsi="华文楷体" w:eastAsia="华文楷体"/>
                <w:bCs/>
                <w:color w:val="auto"/>
                <w:sz w:val="18"/>
                <w:szCs w:val="18"/>
              </w:rPr>
              <w:t>有单项合同金额要求</w:t>
            </w:r>
            <w:r>
              <w:rPr>
                <w:rFonts w:hint="eastAsia" w:ascii="华文楷体" w:hAnsi="华文楷体" w:eastAsia="华文楷体"/>
                <w:bCs/>
                <w:color w:val="auto"/>
                <w:sz w:val="18"/>
                <w:szCs w:val="18"/>
              </w:rPr>
              <w:t>的</w:t>
            </w:r>
            <w:r>
              <w:rPr>
                <w:rFonts w:ascii="华文楷体" w:hAnsi="华文楷体" w:eastAsia="华文楷体"/>
                <w:bCs/>
                <w:color w:val="auto"/>
                <w:sz w:val="18"/>
                <w:szCs w:val="18"/>
              </w:rPr>
              <w:t>情形</w:t>
            </w:r>
            <w:r>
              <w:rPr>
                <w:rFonts w:hint="eastAsia" w:ascii="华文楷体" w:hAnsi="华文楷体" w:eastAsia="华文楷体"/>
                <w:bCs/>
                <w:color w:val="auto"/>
                <w:sz w:val="18"/>
                <w:szCs w:val="18"/>
              </w:rPr>
              <w:t>），并</w:t>
            </w:r>
            <w:r>
              <w:rPr>
                <w:rFonts w:hint="eastAsia" w:ascii="华文楷体" w:hAnsi="华文楷体" w:eastAsia="华文楷体"/>
                <w:color w:val="auto"/>
                <w:sz w:val="18"/>
                <w:szCs w:val="18"/>
              </w:rPr>
              <w:t>加盖发包人（或</w:t>
            </w:r>
            <w:r>
              <w:rPr>
                <w:rFonts w:ascii="华文楷体" w:hAnsi="华文楷体" w:eastAsia="华文楷体"/>
                <w:color w:val="auto"/>
                <w:sz w:val="18"/>
                <w:szCs w:val="18"/>
              </w:rPr>
              <w:t>分包合同的发包人</w:t>
            </w:r>
            <w:r>
              <w:rPr>
                <w:rFonts w:hint="eastAsia" w:ascii="华文楷体" w:hAnsi="华文楷体" w:eastAsia="华文楷体"/>
                <w:color w:val="auto"/>
                <w:sz w:val="18"/>
                <w:szCs w:val="18"/>
              </w:rPr>
              <w:t>）单位章或其主管部门印章，否则</w:t>
            </w:r>
            <w:r>
              <w:rPr>
                <w:rFonts w:ascii="华文楷体" w:hAnsi="华文楷体" w:eastAsia="华文楷体"/>
                <w:color w:val="auto"/>
                <w:sz w:val="18"/>
                <w:szCs w:val="18"/>
              </w:rPr>
              <w:t>无效</w:t>
            </w:r>
          </w:p>
          <w:p>
            <w:pPr>
              <w:widowControl/>
              <w:snapToGrid w:val="0"/>
              <w:rPr>
                <w:rFonts w:ascii="华文楷体" w:hAnsi="华文楷体" w:eastAsia="华文楷体" w:cs="宋体"/>
                <w:color w:val="auto"/>
                <w:kern w:val="0"/>
                <w:sz w:val="18"/>
                <w:szCs w:val="18"/>
              </w:rPr>
            </w:pPr>
            <w:r>
              <w:rPr>
                <w:rFonts w:hint="eastAsia" w:ascii="华文楷体" w:hAnsi="华文楷体" w:eastAsia="华文楷体"/>
                <w:bCs/>
                <w:color w:val="auto"/>
                <w:sz w:val="18"/>
                <w:szCs w:val="18"/>
              </w:rPr>
              <w:t>（4）工程合同：含本项“</w:t>
            </w:r>
            <w:r>
              <w:rPr>
                <w:rFonts w:hint="eastAsia" w:ascii="华文楷体" w:hAnsi="华文楷体" w:eastAsia="华文楷体"/>
                <w:b/>
                <w:bCs/>
                <w:color w:val="auto"/>
                <w:sz w:val="18"/>
                <w:szCs w:val="18"/>
              </w:rPr>
              <w:t>评审</w:t>
            </w:r>
            <w:r>
              <w:rPr>
                <w:rFonts w:ascii="华文楷体" w:hAnsi="华文楷体" w:eastAsia="华文楷体"/>
                <w:b/>
                <w:bCs/>
                <w:color w:val="auto"/>
                <w:sz w:val="18"/>
                <w:szCs w:val="18"/>
              </w:rPr>
              <w:t>标准</w:t>
            </w:r>
            <w:r>
              <w:rPr>
                <w:rFonts w:hint="eastAsia" w:ascii="华文楷体" w:hAnsi="华文楷体" w:eastAsia="华文楷体"/>
                <w:bCs/>
                <w:color w:val="auto"/>
                <w:sz w:val="18"/>
                <w:szCs w:val="18"/>
              </w:rPr>
              <w:t>”“</w:t>
            </w:r>
            <w:r>
              <w:rPr>
                <w:rFonts w:hint="eastAsia" w:ascii="华文楷体" w:hAnsi="华文楷体" w:eastAsia="华文楷体"/>
                <w:b/>
                <w:bCs/>
                <w:color w:val="auto"/>
                <w:sz w:val="18"/>
                <w:szCs w:val="18"/>
              </w:rPr>
              <w:t>项目业绩</w:t>
            </w:r>
            <w:r>
              <w:rPr>
                <w:rFonts w:hint="eastAsia" w:ascii="华文楷体" w:hAnsi="华文楷体" w:eastAsia="华文楷体"/>
                <w:bCs/>
                <w:color w:val="auto"/>
                <w:sz w:val="18"/>
                <w:szCs w:val="18"/>
              </w:rPr>
              <w:t>”的相关合同</w:t>
            </w:r>
          </w:p>
          <w:p>
            <w:pPr>
              <w:widowControl/>
              <w:rPr>
                <w:rFonts w:ascii="宋体" w:hAnsi="宋体" w:cs="宋体"/>
                <w:color w:val="auto"/>
                <w:kern w:val="0"/>
                <w:sz w:val="20"/>
                <w:szCs w:val="20"/>
              </w:rPr>
            </w:pPr>
            <w:r>
              <w:rPr>
                <w:rFonts w:hint="eastAsia" w:ascii="华文楷体" w:hAnsi="华文楷体" w:eastAsia="华文楷体" w:cs="宋体"/>
                <w:color w:val="auto"/>
                <w:kern w:val="0"/>
                <w:sz w:val="18"/>
                <w:szCs w:val="18"/>
              </w:rPr>
              <w:t>（</w:t>
            </w:r>
            <w:r>
              <w:rPr>
                <w:rFonts w:ascii="华文楷体" w:hAnsi="华文楷体" w:eastAsia="华文楷体" w:cs="宋体"/>
                <w:color w:val="auto"/>
                <w:kern w:val="0"/>
                <w:sz w:val="18"/>
                <w:szCs w:val="18"/>
              </w:rPr>
              <w:t>5</w:t>
            </w:r>
            <w:r>
              <w:rPr>
                <w:rFonts w:hint="eastAsia" w:ascii="华文楷体" w:hAnsi="华文楷体" w:eastAsia="华文楷体" w:cs="宋体"/>
                <w:color w:val="auto"/>
                <w:kern w:val="0"/>
                <w:sz w:val="18"/>
                <w:szCs w:val="18"/>
              </w:rPr>
              <w:t>）</w:t>
            </w:r>
            <w:r>
              <w:rPr>
                <w:rFonts w:hint="eastAsia" w:ascii="华文楷体" w:hAnsi="华文楷体" w:eastAsia="华文楷体"/>
                <w:color w:val="auto"/>
                <w:sz w:val="18"/>
                <w:szCs w:val="18"/>
              </w:rPr>
              <w:t>若个人执业业绩（包括</w:t>
            </w:r>
            <w:r>
              <w:rPr>
                <w:rFonts w:ascii="华文楷体" w:hAnsi="华文楷体" w:eastAsia="华文楷体"/>
                <w:color w:val="auto"/>
                <w:sz w:val="18"/>
                <w:szCs w:val="18"/>
              </w:rPr>
              <w:t>人员</w:t>
            </w:r>
            <w:r>
              <w:rPr>
                <w:rFonts w:hint="eastAsia" w:ascii="华文楷体" w:hAnsi="华文楷体" w:eastAsia="华文楷体"/>
                <w:color w:val="auto"/>
                <w:sz w:val="18"/>
                <w:szCs w:val="18"/>
              </w:rPr>
              <w:t>岗位</w:t>
            </w:r>
            <w:r>
              <w:rPr>
                <w:rFonts w:ascii="华文楷体" w:hAnsi="华文楷体" w:eastAsia="华文楷体"/>
                <w:color w:val="auto"/>
                <w:sz w:val="18"/>
                <w:szCs w:val="18"/>
              </w:rPr>
              <w:t>及姓名、</w:t>
            </w:r>
            <w:r>
              <w:rPr>
                <w:rFonts w:hint="eastAsia" w:ascii="华文楷体" w:hAnsi="华文楷体" w:eastAsia="华文楷体"/>
                <w:color w:val="auto"/>
                <w:sz w:val="18"/>
                <w:szCs w:val="18"/>
              </w:rPr>
              <w:t>年限</w:t>
            </w:r>
            <w:r>
              <w:rPr>
                <w:rFonts w:ascii="华文楷体" w:hAnsi="华文楷体" w:eastAsia="华文楷体"/>
                <w:color w:val="auto"/>
                <w:sz w:val="18"/>
                <w:szCs w:val="18"/>
              </w:rPr>
              <w:t>、</w:t>
            </w:r>
            <w:r>
              <w:rPr>
                <w:rFonts w:hint="eastAsia" w:ascii="华文楷体" w:hAnsi="华文楷体" w:eastAsia="华文楷体"/>
                <w:bCs/>
                <w:color w:val="auto"/>
                <w:sz w:val="18"/>
                <w:szCs w:val="18"/>
              </w:rPr>
              <w:t>工程规模（若项目</w:t>
            </w:r>
            <w:r>
              <w:rPr>
                <w:rFonts w:ascii="华文楷体" w:hAnsi="华文楷体" w:eastAsia="华文楷体"/>
                <w:bCs/>
                <w:color w:val="auto"/>
                <w:sz w:val="18"/>
                <w:szCs w:val="18"/>
              </w:rPr>
              <w:t>业绩有要求</w:t>
            </w:r>
            <w:r>
              <w:rPr>
                <w:rFonts w:hint="eastAsia" w:ascii="华文楷体" w:hAnsi="华文楷体" w:eastAsia="华文楷体"/>
                <w:bCs/>
                <w:color w:val="auto"/>
                <w:sz w:val="18"/>
                <w:szCs w:val="18"/>
              </w:rPr>
              <w:t>）、</w:t>
            </w:r>
            <w:r>
              <w:rPr>
                <w:rFonts w:hint="eastAsia" w:ascii="华文楷体" w:hAnsi="华文楷体" w:eastAsia="华文楷体"/>
                <w:color w:val="auto"/>
                <w:sz w:val="18"/>
                <w:szCs w:val="18"/>
              </w:rPr>
              <w:t>承包范围、</w:t>
            </w:r>
            <w:r>
              <w:rPr>
                <w:rFonts w:ascii="华文楷体" w:hAnsi="华文楷体" w:eastAsia="华文楷体"/>
                <w:color w:val="auto"/>
                <w:sz w:val="18"/>
                <w:szCs w:val="18"/>
              </w:rPr>
              <w:t>单项合同金额等</w:t>
            </w:r>
            <w:r>
              <w:rPr>
                <w:rFonts w:hint="eastAsia" w:ascii="华文楷体" w:hAnsi="华文楷体" w:eastAsia="华文楷体"/>
                <w:color w:val="auto"/>
                <w:sz w:val="18"/>
                <w:szCs w:val="18"/>
              </w:rPr>
              <w:t>）在合同中不能明确显示，投标人须提供由发包人（或</w:t>
            </w:r>
            <w:r>
              <w:rPr>
                <w:rFonts w:ascii="华文楷体" w:hAnsi="华文楷体" w:eastAsia="华文楷体"/>
                <w:color w:val="auto"/>
                <w:sz w:val="18"/>
                <w:szCs w:val="18"/>
              </w:rPr>
              <w:t>分包合同的发包人</w:t>
            </w:r>
            <w:r>
              <w:rPr>
                <w:rFonts w:hint="eastAsia" w:ascii="华文楷体" w:hAnsi="华文楷体" w:eastAsia="华文楷体"/>
                <w:color w:val="auto"/>
                <w:sz w:val="18"/>
                <w:szCs w:val="18"/>
              </w:rPr>
              <w:t>）或其专业主管部门出具的其他证明材料，并加盖发包人（或</w:t>
            </w:r>
            <w:r>
              <w:rPr>
                <w:rFonts w:ascii="华文楷体" w:hAnsi="华文楷体" w:eastAsia="华文楷体"/>
                <w:color w:val="auto"/>
                <w:sz w:val="18"/>
                <w:szCs w:val="18"/>
              </w:rPr>
              <w:t>分包合同的发包人</w:t>
            </w:r>
            <w:r>
              <w:rPr>
                <w:rFonts w:hint="eastAsia" w:ascii="华文楷体" w:hAnsi="华文楷体" w:eastAsia="华文楷体"/>
                <w:color w:val="auto"/>
                <w:sz w:val="18"/>
                <w:szCs w:val="18"/>
              </w:rPr>
              <w:t>）单位章或其主管部门印章，否则无效】</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6</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518"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其他</w:t>
            </w:r>
          </w:p>
        </w:tc>
        <w:tc>
          <w:tcPr>
            <w:tcW w:w="8836" w:type="dxa"/>
            <w:tcBorders>
              <w:top w:val="single" w:color="auto" w:sz="4" w:space="0"/>
              <w:left w:val="nil"/>
              <w:bottom w:val="nil"/>
              <w:right w:val="single" w:color="auto" w:sz="4" w:space="0"/>
            </w:tcBorders>
            <w:shd w:val="clear" w:color="000000" w:fill="F2F2F2"/>
            <w:vAlign w:val="center"/>
          </w:tcPr>
          <w:p>
            <w:pPr>
              <w:widowControl/>
              <w:rPr>
                <w:rFonts w:ascii="宋体" w:hAnsi="宋体" w:cs="宋体"/>
                <w:color w:val="auto"/>
                <w:kern w:val="0"/>
                <w:sz w:val="20"/>
                <w:szCs w:val="20"/>
              </w:rPr>
            </w:pP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18"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p>
        </w:tc>
        <w:tc>
          <w:tcPr>
            <w:tcW w:w="8836" w:type="dxa"/>
            <w:tcBorders>
              <w:top w:val="single" w:color="auto" w:sz="4" w:space="0"/>
              <w:left w:val="nil"/>
              <w:bottom w:val="nil"/>
              <w:right w:val="single" w:color="auto" w:sz="4" w:space="0"/>
            </w:tcBorders>
            <w:shd w:val="clear" w:color="000000" w:fill="F2F2F2"/>
            <w:vAlign w:val="center"/>
          </w:tcPr>
          <w:p>
            <w:pPr>
              <w:widowControl/>
              <w:jc w:val="right"/>
              <w:rPr>
                <w:rFonts w:ascii="宋体" w:hAnsi="宋体" w:cs="宋体"/>
                <w:color w:val="auto"/>
                <w:kern w:val="0"/>
                <w:sz w:val="20"/>
                <w:szCs w:val="20"/>
              </w:rPr>
            </w:pPr>
            <w:r>
              <w:rPr>
                <w:rFonts w:hint="eastAsia" w:ascii="宋体" w:hAnsi="宋体" w:cs="宋体"/>
                <w:b/>
                <w:color w:val="auto"/>
                <w:kern w:val="0"/>
                <w:sz w:val="20"/>
                <w:szCs w:val="20"/>
              </w:rPr>
              <w:t>管控方案评审项得分合计</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46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2834" w:type="dxa"/>
            <w:gridSpan w:val="2"/>
            <w:tcBorders>
              <w:top w:val="single" w:color="auto" w:sz="4" w:space="0"/>
              <w:left w:val="nil"/>
              <w:bottom w:val="nil"/>
              <w:right w:val="single" w:color="auto" w:sz="4" w:space="0"/>
            </w:tcBorders>
            <w:shd w:val="clear" w:color="000000" w:fill="F2F2F2"/>
            <w:vAlign w:val="center"/>
          </w:tcPr>
          <w:p>
            <w:pPr>
              <w:widowControl/>
              <w:jc w:val="left"/>
              <w:rPr>
                <w:rFonts w:ascii="宋体" w:hAnsi="宋体" w:cs="宋体"/>
                <w:color w:val="auto"/>
                <w:kern w:val="0"/>
                <w:sz w:val="20"/>
                <w:szCs w:val="20"/>
              </w:rPr>
            </w:pPr>
          </w:p>
        </w:tc>
        <w:tc>
          <w:tcPr>
            <w:tcW w:w="8836" w:type="dxa"/>
            <w:tcBorders>
              <w:top w:val="single" w:color="auto" w:sz="4" w:space="0"/>
              <w:left w:val="nil"/>
              <w:bottom w:val="nil"/>
              <w:right w:val="single" w:color="auto" w:sz="4" w:space="0"/>
            </w:tcBorders>
            <w:shd w:val="clear" w:color="000000" w:fill="F2F2F2"/>
            <w:vAlign w:val="center"/>
          </w:tcPr>
          <w:p>
            <w:pPr>
              <w:widowControl/>
              <w:jc w:val="right"/>
              <w:rPr>
                <w:rFonts w:ascii="宋体" w:hAnsi="宋体" w:cs="宋体"/>
                <w:b/>
                <w:color w:val="auto"/>
                <w:kern w:val="0"/>
              </w:rPr>
            </w:pPr>
            <w:r>
              <w:rPr>
                <w:rFonts w:hint="eastAsia" w:ascii="黑体" w:hAnsi="黑体" w:eastAsia="黑体" w:cs="宋体"/>
                <w:color w:val="auto"/>
                <w:kern w:val="0"/>
              </w:rPr>
              <w:t>HSE专项评审得分总计</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100</w:t>
            </w: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w:t>
            </w:r>
          </w:p>
        </w:tc>
      </w:tr>
      <w:tr>
        <w:tblPrEx>
          <w:tblCellMar>
            <w:top w:w="0" w:type="dxa"/>
            <w:left w:w="108" w:type="dxa"/>
            <w:bottom w:w="0" w:type="dxa"/>
            <w:right w:w="108" w:type="dxa"/>
          </w:tblCellMar>
        </w:tblPrEx>
        <w:trPr>
          <w:trHeight w:val="518"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2834" w:type="dxa"/>
            <w:gridSpan w:val="2"/>
            <w:tcBorders>
              <w:top w:val="single" w:color="auto" w:sz="4" w:space="0"/>
              <w:left w:val="nil"/>
              <w:bottom w:val="single" w:color="auto" w:sz="4" w:space="0"/>
              <w:right w:val="single" w:color="auto" w:sz="4" w:space="0"/>
            </w:tcBorders>
            <w:shd w:val="clear" w:color="000000" w:fill="F2F2F2"/>
            <w:vAlign w:val="center"/>
          </w:tcPr>
          <w:p>
            <w:pPr>
              <w:widowControl/>
              <w:jc w:val="left"/>
              <w:rPr>
                <w:rFonts w:ascii="宋体" w:hAnsi="宋体" w:cs="宋体"/>
                <w:color w:val="auto"/>
                <w:kern w:val="0"/>
                <w:sz w:val="20"/>
                <w:szCs w:val="20"/>
              </w:rPr>
            </w:pPr>
          </w:p>
        </w:tc>
        <w:tc>
          <w:tcPr>
            <w:tcW w:w="8836" w:type="dxa"/>
            <w:tcBorders>
              <w:top w:val="single" w:color="auto" w:sz="4" w:space="0"/>
              <w:left w:val="nil"/>
              <w:bottom w:val="single" w:color="auto" w:sz="4" w:space="0"/>
              <w:right w:val="single" w:color="auto" w:sz="4" w:space="0"/>
            </w:tcBorders>
            <w:shd w:val="clear" w:color="000000" w:fill="F2F2F2"/>
            <w:vAlign w:val="center"/>
          </w:tcPr>
          <w:p>
            <w:pPr>
              <w:widowControl/>
              <w:rPr>
                <w:rFonts w:ascii="宋体" w:hAnsi="宋体" w:cs="宋体"/>
                <w:color w:val="auto"/>
                <w:kern w:val="0"/>
              </w:rPr>
            </w:pPr>
            <w:r>
              <w:rPr>
                <w:rFonts w:hint="eastAsia" w:ascii="黑体" w:hAnsi="黑体" w:eastAsia="黑体" w:cs="宋体"/>
                <w:color w:val="auto"/>
                <w:kern w:val="0"/>
              </w:rPr>
              <w:t>HSE专项评审加权得分【（响应评审项得分合计+管控方案评审项得分合计）×权重】</w:t>
            </w:r>
          </w:p>
        </w:tc>
        <w:tc>
          <w:tcPr>
            <w:tcW w:w="8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0"/>
                <w:szCs w:val="20"/>
              </w:rPr>
            </w:pPr>
          </w:p>
        </w:tc>
        <w:tc>
          <w:tcPr>
            <w:tcW w:w="8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r>
    </w:tbl>
    <w:p>
      <w:pPr>
        <w:snapToGrid w:val="0"/>
        <w:spacing w:line="420" w:lineRule="exact"/>
        <w:ind w:firstLine="482" w:firstLineChars="200"/>
        <w:outlineLvl w:val="0"/>
      </w:pPr>
      <w:r>
        <w:rPr>
          <w:rFonts w:hint="eastAsia"/>
          <w:b/>
          <w:color w:val="000000" w:themeColor="text1"/>
          <w:lang w:val="en-US" w:eastAsia="zh-CN"/>
          <w14:textFill>
            <w14:solidFill>
              <w14:schemeClr w14:val="tx1"/>
            </w14:solidFill>
          </w14:textFill>
        </w:rPr>
        <w:t>9</w:t>
      </w:r>
      <w:r>
        <w:rPr>
          <w:rFonts w:hint="eastAsia"/>
          <w:b/>
          <w:color w:val="000000" w:themeColor="text1"/>
          <w14:textFill>
            <w14:solidFill>
              <w14:schemeClr w14:val="tx1"/>
            </w14:solidFill>
          </w14:textFill>
        </w:rPr>
        <w:t>. 评</w:t>
      </w:r>
      <w:r>
        <w:rPr>
          <w:b/>
          <w:color w:val="000000" w:themeColor="text1"/>
          <w14:textFill>
            <w14:solidFill>
              <w14:schemeClr w14:val="tx1"/>
            </w14:solidFill>
          </w14:textFill>
        </w:rPr>
        <w:t>审</w:t>
      </w:r>
      <w:r>
        <w:rPr>
          <w:rFonts w:hint="eastAsia"/>
          <w:b/>
          <w:color w:val="000000" w:themeColor="text1"/>
          <w14:textFill>
            <w14:solidFill>
              <w14:schemeClr w14:val="tx1"/>
            </w14:solidFill>
          </w14:textFill>
        </w:rPr>
        <w:t>否决</w:t>
      </w:r>
      <w:r>
        <w:rPr>
          <w:b/>
          <w:color w:val="000000" w:themeColor="text1"/>
          <w14:textFill>
            <w14:solidFill>
              <w14:schemeClr w14:val="tx1"/>
            </w14:solidFill>
          </w14:textFill>
        </w:rPr>
        <w:t>项</w:t>
      </w:r>
      <w:r>
        <w:rPr>
          <w:rFonts w:hint="eastAsia"/>
        </w:rPr>
        <w:t>：</w:t>
      </w:r>
    </w:p>
    <w:tbl>
      <w:tblPr>
        <w:tblStyle w:val="14"/>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4111"/>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shd w:val="clear" w:color="auto" w:fill="auto"/>
            <w:noWrap/>
            <w:vAlign w:val="center"/>
          </w:tcPr>
          <w:p>
            <w:pPr>
              <w:widowControl/>
              <w:spacing w:line="240" w:lineRule="auto"/>
              <w:jc w:val="center"/>
              <w:rPr>
                <w:rFonts w:ascii="宋体" w:hAnsi="宋体" w:cs="宋体"/>
                <w:b/>
                <w:bCs/>
                <w:kern w:val="0"/>
              </w:rPr>
            </w:pPr>
            <w:r>
              <w:rPr>
                <w:rFonts w:hint="eastAsia" w:ascii="宋体" w:hAnsi="宋体" w:cs="宋体"/>
                <w:b/>
                <w:bCs/>
                <w:kern w:val="0"/>
              </w:rPr>
              <w:t>序号</w:t>
            </w:r>
          </w:p>
        </w:tc>
        <w:tc>
          <w:tcPr>
            <w:tcW w:w="2268" w:type="dxa"/>
            <w:shd w:val="clear" w:color="auto" w:fill="auto"/>
            <w:noWrap/>
            <w:vAlign w:val="center"/>
          </w:tcPr>
          <w:p>
            <w:pPr>
              <w:widowControl/>
              <w:spacing w:line="240" w:lineRule="auto"/>
              <w:jc w:val="center"/>
              <w:rPr>
                <w:rFonts w:ascii="宋体" w:hAnsi="宋体" w:cs="宋体"/>
                <w:b/>
                <w:bCs/>
                <w:kern w:val="0"/>
              </w:rPr>
            </w:pPr>
            <w:r>
              <w:rPr>
                <w:rFonts w:hint="eastAsia" w:ascii="宋体" w:hAnsi="宋体" w:cs="宋体"/>
                <w:b/>
                <w:bCs/>
                <w:kern w:val="0"/>
              </w:rPr>
              <w:t>评分项目</w:t>
            </w:r>
          </w:p>
        </w:tc>
        <w:tc>
          <w:tcPr>
            <w:tcW w:w="4111" w:type="dxa"/>
            <w:shd w:val="clear" w:color="auto" w:fill="auto"/>
            <w:noWrap/>
            <w:vAlign w:val="center"/>
          </w:tcPr>
          <w:p>
            <w:pPr>
              <w:widowControl/>
              <w:spacing w:line="240" w:lineRule="auto"/>
              <w:jc w:val="center"/>
              <w:rPr>
                <w:rFonts w:ascii="宋体" w:hAnsi="宋体" w:cs="宋体"/>
                <w:b/>
                <w:bCs/>
                <w:kern w:val="0"/>
              </w:rPr>
            </w:pPr>
            <w:r>
              <w:rPr>
                <w:rFonts w:hint="eastAsia" w:ascii="宋体" w:hAnsi="宋体" w:cs="宋体"/>
                <w:b/>
                <w:bCs/>
                <w:kern w:val="0"/>
              </w:rPr>
              <w:t>评分标准</w:t>
            </w:r>
          </w:p>
        </w:tc>
        <w:tc>
          <w:tcPr>
            <w:tcW w:w="2218" w:type="dxa"/>
            <w:vAlign w:val="center"/>
          </w:tcPr>
          <w:p>
            <w:pPr>
              <w:widowControl/>
              <w:spacing w:line="240" w:lineRule="auto"/>
              <w:jc w:val="center"/>
              <w:rPr>
                <w:rFonts w:ascii="宋体" w:hAnsi="宋体" w:cs="宋体"/>
                <w:b/>
                <w:bCs/>
                <w:kern w:val="0"/>
              </w:rPr>
            </w:pPr>
            <w:r>
              <w:rPr>
                <w:rFonts w:hint="eastAsia" w:ascii="宋体" w:hAnsi="宋体"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响应文件密封并及时送达</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响应文件密封并且未损坏，响应文件在响应有效期限内送达</w:t>
            </w:r>
          </w:p>
        </w:tc>
        <w:tc>
          <w:tcPr>
            <w:tcW w:w="2218" w:type="dxa"/>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《竞争性选商响应文件寄（送）达记录》由经办人在送达时点即时记录，评审时现场出示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2</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营业执照、行业许可证书或资质证书</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2218" w:type="dxa"/>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根据业务是否需要相关行业准入型证书进行设置，写清所需证书名称。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3</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证书、资料等真实有效</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响应人声明情况属实，提供的证书、资料等没有弄虚作假</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4</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严重过违法违规受到行政处罚和过错责任引发诉讼</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没有因严重违法违规行为受到行政处罚或因存在严重违约、失信等过错责任引发诉讼的</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5</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严重失信情况</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未被“信用中国”、“国家企业信用信息公司系统”等信用信息共享平台列入严重违法失信企业名单、失信人执行名单</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6</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严重失信情况</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没有在最近三年内因违法违规行为造成较大社会影响或被政府部门、</w:t>
            </w:r>
            <w:r>
              <w:rPr>
                <w:rFonts w:ascii="宋体" w:hAnsi="宋体" w:cs="宋体"/>
                <w:kern w:val="0"/>
                <w:sz w:val="22"/>
                <w:szCs w:val="22"/>
              </w:rPr>
              <w:t>行业</w:t>
            </w:r>
            <w:r>
              <w:rPr>
                <w:rFonts w:hint="eastAsia" w:ascii="宋体" w:hAnsi="宋体" w:cs="宋体"/>
                <w:kern w:val="0"/>
                <w:sz w:val="22"/>
                <w:szCs w:val="22"/>
              </w:rPr>
              <w:t>组织</w:t>
            </w:r>
            <w:r>
              <w:rPr>
                <w:rFonts w:ascii="宋体" w:hAnsi="宋体" w:cs="宋体"/>
                <w:kern w:val="0"/>
                <w:sz w:val="22"/>
                <w:szCs w:val="22"/>
              </w:rPr>
              <w:t>等</w:t>
            </w:r>
            <w:r>
              <w:rPr>
                <w:rFonts w:hint="eastAsia" w:ascii="宋体" w:hAnsi="宋体" w:cs="宋体"/>
                <w:kern w:val="0"/>
                <w:sz w:val="22"/>
                <w:szCs w:val="22"/>
              </w:rPr>
              <w:t>列入“黑名单”</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7</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严重失信情况</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没有因在中石化总部及其分子公司选商和签订、履行合同时严重违约违规等而被列入“黑名单”</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8</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一般</w:t>
            </w:r>
            <w:r>
              <w:rPr>
                <w:rFonts w:ascii="宋体" w:hAnsi="宋体" w:cs="宋体"/>
                <w:kern w:val="0"/>
                <w:sz w:val="22"/>
                <w:szCs w:val="22"/>
              </w:rPr>
              <w:t>违法违规及失信</w:t>
            </w:r>
            <w:r>
              <w:rPr>
                <w:rFonts w:hint="eastAsia" w:ascii="宋体" w:hAnsi="宋体" w:cs="宋体"/>
                <w:kern w:val="0"/>
                <w:sz w:val="22"/>
                <w:szCs w:val="22"/>
              </w:rPr>
              <w:t>情况</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近</w:t>
            </w:r>
            <w:r>
              <w:rPr>
                <w:rFonts w:ascii="宋体" w:hAnsi="宋体" w:cs="宋体"/>
                <w:kern w:val="0"/>
                <w:sz w:val="22"/>
                <w:szCs w:val="22"/>
              </w:rPr>
              <w:t>三年内</w:t>
            </w:r>
            <w:r>
              <w:rPr>
                <w:rFonts w:hint="eastAsia" w:ascii="宋体" w:hAnsi="宋体" w:cs="宋体"/>
                <w:kern w:val="0"/>
                <w:sz w:val="22"/>
                <w:szCs w:val="22"/>
              </w:rPr>
              <w:t>一般</w:t>
            </w:r>
            <w:r>
              <w:rPr>
                <w:rFonts w:ascii="宋体" w:hAnsi="宋体" w:cs="宋体"/>
                <w:kern w:val="0"/>
                <w:sz w:val="22"/>
                <w:szCs w:val="22"/>
              </w:rPr>
              <w:t>违法违规及失信</w:t>
            </w:r>
            <w:r>
              <w:rPr>
                <w:rFonts w:hint="eastAsia" w:ascii="宋体" w:hAnsi="宋体" w:cs="宋体"/>
                <w:kern w:val="0"/>
                <w:sz w:val="22"/>
                <w:szCs w:val="22"/>
              </w:rPr>
              <w:t>的数量较少，且经分析和</w:t>
            </w:r>
            <w:r>
              <w:rPr>
                <w:rFonts w:ascii="宋体" w:hAnsi="宋体" w:cs="宋体"/>
                <w:kern w:val="0"/>
                <w:sz w:val="22"/>
                <w:szCs w:val="22"/>
              </w:rPr>
              <w:t>评审认为</w:t>
            </w:r>
            <w:r>
              <w:rPr>
                <w:rFonts w:hint="eastAsia" w:ascii="宋体" w:hAnsi="宋体" w:cs="宋体"/>
                <w:kern w:val="0"/>
                <w:sz w:val="22"/>
                <w:szCs w:val="22"/>
              </w:rPr>
              <w:t>不存在很</w:t>
            </w:r>
            <w:r>
              <w:rPr>
                <w:rFonts w:ascii="宋体" w:hAnsi="宋体" w:cs="宋体"/>
                <w:kern w:val="0"/>
                <w:sz w:val="22"/>
                <w:szCs w:val="22"/>
              </w:rPr>
              <w:t>大的</w:t>
            </w:r>
            <w:r>
              <w:rPr>
                <w:rFonts w:hint="eastAsia" w:ascii="宋体" w:hAnsi="宋体" w:cs="宋体"/>
                <w:kern w:val="0"/>
                <w:sz w:val="22"/>
                <w:szCs w:val="22"/>
              </w:rPr>
              <w:t>合作</w:t>
            </w:r>
            <w:r>
              <w:rPr>
                <w:rFonts w:ascii="宋体" w:hAnsi="宋体" w:cs="宋体"/>
                <w:kern w:val="0"/>
                <w:sz w:val="22"/>
                <w:szCs w:val="22"/>
              </w:rPr>
              <w:t>风险</w:t>
            </w:r>
            <w:r>
              <w:rPr>
                <w:rFonts w:hint="eastAsia" w:ascii="宋体" w:hAnsi="宋体" w:cs="宋体"/>
                <w:kern w:val="0"/>
                <w:sz w:val="22"/>
                <w:szCs w:val="22"/>
              </w:rPr>
              <w:t xml:space="preserve"> </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9</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联合体提交共同响应协议</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响应联合体应提交共同响应协议</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10</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虚假竞争</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未发生负责人为同一人的不同响应人或者存在控股、管理等关联关系的不同响应人，对同一标段或者未划分标段的同一竞争性选商业务进行响应的</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违法违规的响应</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未发生响应人有以他人的名义响应、串通响应、以行贿手段谋取成交或以其他弄虚作假方式响应的</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恶性竞争</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响应人的报价明显低于其他响应人报价的或低于经测算已设定的底价，谈判小组要求其澄清时，该响应人不能合理说明或者不能提供相关证明材料，谈判小组认定该响应为恶性竞争行为的</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959" w:type="dxa"/>
            <w:shd w:val="clear" w:color="auto" w:fill="auto"/>
            <w:noWrap/>
            <w:vAlign w:val="center"/>
          </w:tcPr>
          <w:p>
            <w:pPr>
              <w:widowControl/>
              <w:spacing w:line="240" w:lineRule="auto"/>
              <w:jc w:val="center"/>
              <w:rPr>
                <w:rFonts w:ascii="宋体" w:hAnsi="宋体" w:cs="宋体"/>
                <w:kern w:val="0"/>
              </w:rPr>
            </w:pPr>
            <w:r>
              <w:rPr>
                <w:rFonts w:hint="eastAsia" w:ascii="宋体" w:hAnsi="宋体" w:cs="宋体"/>
                <w:kern w:val="0"/>
              </w:rPr>
              <w:t>13</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响应文件与竞争性选商文件重大偏差</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响应文件不存在重大偏差（重大偏差是指：未对竞争性谈判文件的实质性要求和条件作出有效响应，包括A 按照竞争性谈判文件要求全面做出响应保证或做出的响应保证有较大瑕疵的；B 响应文件未经响应人盖章和响应人法定代表人（或授权委托人）签字，或虽有授权委托人签字，但授权委托书上无法定代表人签字的；C 响应文件载明的竞争性谈判业务完成期限超过了竞争性谈判文件规定期限的；D 明显不符合技术规格、技术标准要求的；E 响应文件载明的货物包装方式、检验标准和方法等不符合竞争性谈判文件要求的；F 响应文件中另行附有竞争性谈判邀请人不能接受的条件的；G 不符合竞争性谈判文件中规定的其他实质性要求的）</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14</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ascii="宋体" w:hAnsi="宋体" w:cs="宋体"/>
                <w:kern w:val="0"/>
                <w:sz w:val="22"/>
                <w:szCs w:val="22"/>
              </w:rPr>
              <w:t>竞争性选商的</w:t>
            </w:r>
            <w:r>
              <w:rPr>
                <w:rFonts w:hint="eastAsia" w:ascii="宋体" w:hAnsi="宋体" w:cs="宋体"/>
                <w:kern w:val="0"/>
                <w:sz w:val="22"/>
                <w:szCs w:val="22"/>
              </w:rPr>
              <w:t>响应</w:t>
            </w:r>
            <w:r>
              <w:rPr>
                <w:rFonts w:ascii="宋体" w:hAnsi="宋体" w:cs="宋体"/>
                <w:kern w:val="0"/>
                <w:sz w:val="22"/>
                <w:szCs w:val="22"/>
              </w:rPr>
              <w:t>人数量</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符合</w:t>
            </w:r>
            <w:r>
              <w:rPr>
                <w:rFonts w:ascii="宋体" w:hAnsi="宋体" w:cs="宋体"/>
                <w:kern w:val="0"/>
                <w:sz w:val="22"/>
                <w:szCs w:val="22"/>
              </w:rPr>
              <w:t>竞争性选商的</w:t>
            </w:r>
            <w:r>
              <w:rPr>
                <w:rFonts w:hint="eastAsia" w:ascii="宋体" w:hAnsi="宋体" w:cs="宋体"/>
                <w:kern w:val="0"/>
                <w:sz w:val="22"/>
                <w:szCs w:val="22"/>
              </w:rPr>
              <w:t>响应</w:t>
            </w:r>
            <w:r>
              <w:rPr>
                <w:rFonts w:ascii="宋体" w:hAnsi="宋体" w:cs="宋体"/>
                <w:kern w:val="0"/>
                <w:sz w:val="22"/>
                <w:szCs w:val="22"/>
              </w:rPr>
              <w:t>人数量要求</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15</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HSE专项评审得分</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（工程施工适用）HSE专项评审得分应高于或等于80分</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16</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其它</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没有国家法律法规、总部制度和本规定要求的其他应当否决响应的情况</w:t>
            </w:r>
          </w:p>
        </w:tc>
        <w:tc>
          <w:tcPr>
            <w:tcW w:w="2218" w:type="dxa"/>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 w:type="dxa"/>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17</w:t>
            </w:r>
          </w:p>
        </w:tc>
        <w:tc>
          <w:tcPr>
            <w:tcW w:w="2268"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报价唯一性</w:t>
            </w:r>
          </w:p>
        </w:tc>
        <w:tc>
          <w:tcPr>
            <w:tcW w:w="4111" w:type="dxa"/>
            <w:shd w:val="clear" w:color="auto" w:fill="auto"/>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商务标报价符合邀请文件格式要求，且只能有一个有效报价</w:t>
            </w:r>
          </w:p>
        </w:tc>
        <w:tc>
          <w:tcPr>
            <w:tcW w:w="2218" w:type="dxa"/>
            <w:vAlign w:val="center"/>
          </w:tcPr>
          <w:p>
            <w:pPr>
              <w:widowControl/>
              <w:spacing w:line="240" w:lineRule="auto"/>
              <w:jc w:val="center"/>
              <w:rPr>
                <w:rFonts w:ascii="宋体" w:hAnsi="宋体" w:cs="宋体"/>
                <w:kern w:val="0"/>
                <w:sz w:val="22"/>
                <w:szCs w:val="22"/>
              </w:rPr>
            </w:pPr>
          </w:p>
        </w:tc>
      </w:tr>
    </w:tbl>
    <w:p>
      <w:pPr>
        <w:snapToGrid w:val="0"/>
        <w:spacing w:line="420" w:lineRule="exact"/>
        <w:ind w:firstLine="482" w:firstLineChars="200"/>
        <w:outlineLvl w:val="0"/>
        <w:rPr>
          <w:b/>
          <w:color w:val="000000" w:themeColor="text1"/>
          <w14:textFill>
            <w14:solidFill>
              <w14:schemeClr w14:val="tx1"/>
            </w14:solidFill>
          </w14:textFill>
        </w:rPr>
        <w:sectPr>
          <w:pgSz w:w="16838" w:h="11906" w:orient="landscape"/>
          <w:pgMar w:top="1276" w:right="709" w:bottom="1276" w:left="992" w:header="851" w:footer="834" w:gutter="0"/>
          <w:cols w:space="425" w:num="1"/>
          <w:docGrid w:linePitch="312" w:charSpace="0"/>
        </w:sectPr>
      </w:pPr>
    </w:p>
    <w:bookmarkEnd w:id="6"/>
    <w:p>
      <w:pPr>
        <w:spacing w:line="420" w:lineRule="exact"/>
        <w:jc w:val="center"/>
        <w:rPr>
          <w:rFonts w:hint="eastAsia" w:ascii="黑体" w:hAnsi="黑体" w:eastAsia="黑体"/>
          <w:b/>
          <w:sz w:val="32"/>
          <w:szCs w:val="32"/>
        </w:rPr>
      </w:pPr>
      <w:bookmarkStart w:id="7" w:name="_Toc439161048"/>
      <w:bookmarkStart w:id="8" w:name="_Toc37234715"/>
      <w:bookmarkStart w:id="9" w:name="_Toc410986485"/>
    </w:p>
    <w:bookmarkEnd w:id="7"/>
    <w:bookmarkEnd w:id="8"/>
    <w:bookmarkEnd w:id="9"/>
    <w:p>
      <w:pPr>
        <w:spacing w:line="420" w:lineRule="exact"/>
        <w:jc w:val="center"/>
        <w:rPr>
          <w:rFonts w:ascii="黑体" w:hAnsi="黑体" w:eastAsia="黑体"/>
          <w:b/>
          <w:sz w:val="32"/>
          <w:szCs w:val="32"/>
        </w:rPr>
      </w:pPr>
      <w:r>
        <w:rPr>
          <w:rFonts w:hint="eastAsia" w:ascii="黑体" w:hAnsi="黑体" w:eastAsia="黑体"/>
          <w:b/>
          <w:sz w:val="32"/>
          <w:szCs w:val="32"/>
        </w:rPr>
        <w:t>竞争性</w:t>
      </w:r>
      <w:r>
        <w:rPr>
          <w:rFonts w:ascii="黑体" w:hAnsi="黑体" w:eastAsia="黑体"/>
          <w:b/>
          <w:sz w:val="32"/>
          <w:szCs w:val="32"/>
        </w:rPr>
        <w:t>选商</w:t>
      </w:r>
      <w:r>
        <w:rPr>
          <w:rFonts w:hint="eastAsia" w:ascii="黑体" w:hAnsi="黑体" w:eastAsia="黑体"/>
          <w:b/>
          <w:sz w:val="32"/>
          <w:szCs w:val="32"/>
        </w:rPr>
        <w:t>响应文件编制内容及格式</w:t>
      </w:r>
    </w:p>
    <w:p>
      <w:pPr>
        <w:spacing w:line="420" w:lineRule="exact"/>
        <w:jc w:val="left"/>
        <w:rPr>
          <w:rFonts w:ascii="黑体" w:hAnsi="黑体" w:eastAsia="黑体"/>
          <w:b/>
          <w:color w:val="000000" w:themeColor="text1"/>
          <w:sz w:val="32"/>
          <w:szCs w:val="32"/>
          <w14:textFill>
            <w14:solidFill>
              <w14:schemeClr w14:val="tx1"/>
            </w14:solidFill>
          </w14:textFill>
        </w:rPr>
      </w:pPr>
    </w:p>
    <w:p>
      <w:pPr>
        <w:spacing w:line="420" w:lineRule="exact"/>
        <w:jc w:val="left"/>
        <w:rPr>
          <w:rFonts w:ascii="楷体_GB2312" w:eastAsia="楷体_GB2312" w:hAnsiTheme="minorEastAsia"/>
          <w:b/>
          <w:sz w:val="32"/>
          <w:szCs w:val="32"/>
        </w:rPr>
      </w:pPr>
    </w:p>
    <w:p>
      <w:pPr>
        <w:spacing w:line="420" w:lineRule="exact"/>
        <w:ind w:firstLine="643" w:firstLineChars="200"/>
        <w:jc w:val="left"/>
        <w:rPr>
          <w:rFonts w:ascii="楷体_GB2312" w:eastAsia="楷体_GB2312" w:hAnsiTheme="minorEastAsia"/>
          <w:b/>
          <w:sz w:val="32"/>
          <w:szCs w:val="32"/>
        </w:rPr>
      </w:pPr>
      <w:r>
        <w:rPr>
          <w:rFonts w:hint="eastAsia" w:ascii="楷体_GB2312" w:eastAsia="楷体_GB2312" w:hAnsiTheme="minorEastAsia"/>
          <w:b/>
          <w:sz w:val="32"/>
          <w:szCs w:val="32"/>
        </w:rPr>
        <w:t>一、商务响应文件包含的内容及格式</w:t>
      </w:r>
    </w:p>
    <w:p>
      <w:pPr>
        <w:spacing w:line="420" w:lineRule="exact"/>
        <w:ind w:firstLine="482" w:firstLineChars="200"/>
        <w:jc w:val="left"/>
        <w:rPr>
          <w:rFonts w:ascii="楷体_GB2312" w:eastAsia="楷体_GB2312"/>
          <w:b/>
          <w:sz w:val="32"/>
          <w:szCs w:val="32"/>
        </w:rPr>
      </w:pPr>
      <w:r>
        <w:rPr>
          <w:rFonts w:hint="eastAsia" w:hAnsiTheme="minorEastAsia" w:eastAsiaTheme="minorEastAsia"/>
          <w:b/>
          <w:color w:val="000000" w:themeColor="text1"/>
          <w14:textFill>
            <w14:solidFill>
              <w14:schemeClr w14:val="tx1"/>
            </w14:solidFill>
          </w14:textFill>
        </w:rPr>
        <w:t xml:space="preserve">1. </w:t>
      </w:r>
      <w:r>
        <w:rPr>
          <w:rFonts w:hAnsiTheme="minorEastAsia" w:eastAsiaTheme="minorEastAsia"/>
          <w:b/>
          <w:color w:val="000000" w:themeColor="text1"/>
          <w14:textFill>
            <w14:solidFill>
              <w14:schemeClr w14:val="tx1"/>
            </w14:solidFill>
          </w14:textFill>
        </w:rPr>
        <w:t xml:space="preserve"> 商务</w:t>
      </w:r>
      <w:r>
        <w:rPr>
          <w:rFonts w:hint="eastAsia" w:hAnsiTheme="minorEastAsia" w:eastAsiaTheme="minorEastAsia"/>
          <w:b/>
          <w:color w:val="000000" w:themeColor="text1"/>
          <w14:textFill>
            <w14:solidFill>
              <w14:schemeClr w14:val="tx1"/>
            </w14:solidFill>
          </w14:textFill>
        </w:rPr>
        <w:t>响应</w:t>
      </w:r>
      <w:r>
        <w:rPr>
          <w:rFonts w:hAnsiTheme="minorEastAsia" w:eastAsiaTheme="minorEastAsia"/>
          <w:b/>
          <w:color w:val="000000" w:themeColor="text1"/>
          <w14:textFill>
            <w14:solidFill>
              <w14:schemeClr w14:val="tx1"/>
            </w14:solidFill>
          </w14:textFill>
        </w:rPr>
        <w:t>文件封面</w:t>
      </w:r>
      <w:r>
        <w:rPr>
          <w:rFonts w:hAnsiTheme="minorEastAsia" w:eastAsiaTheme="minorEastAsia"/>
          <w:color w:val="000000" w:themeColor="text1"/>
          <w14:textFill>
            <w14:solidFill>
              <w14:schemeClr w14:val="tx1"/>
            </w14:solidFill>
          </w14:textFill>
        </w:rPr>
        <w:t>（格式见附件1）</w:t>
      </w:r>
    </w:p>
    <w:p>
      <w:pPr>
        <w:spacing w:line="420" w:lineRule="exact"/>
        <w:ind w:firstLine="482" w:firstLineChars="200"/>
        <w:jc w:val="left"/>
        <w:rPr>
          <w:rFonts w:ascii="楷体_GB2312" w:eastAsia="楷体_GB2312"/>
          <w:b/>
          <w:sz w:val="32"/>
          <w:szCs w:val="32"/>
        </w:rPr>
      </w:pPr>
      <w:r>
        <w:rPr>
          <w:rFonts w:hint="eastAsia" w:hAnsiTheme="minorEastAsia" w:eastAsiaTheme="minorEastAsia"/>
          <w:b/>
          <w:color w:val="000000" w:themeColor="text1"/>
          <w14:textFill>
            <w14:solidFill>
              <w14:schemeClr w14:val="tx1"/>
            </w14:solidFill>
          </w14:textFill>
        </w:rPr>
        <w:t>2.</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响应函</w:t>
      </w:r>
      <w:r>
        <w:rPr>
          <w:rFonts w:hAnsiTheme="minorEastAsia" w:eastAsiaTheme="minorEastAsia"/>
          <w:bCs/>
          <w:color w:val="000000" w:themeColor="text1"/>
          <w14:textFill>
            <w14:solidFill>
              <w14:schemeClr w14:val="tx1"/>
            </w14:solidFill>
          </w14:textFill>
        </w:rPr>
        <w:t>（格式见附件</w:t>
      </w:r>
      <w:r>
        <w:rPr>
          <w:rFonts w:eastAsiaTheme="minorEastAsia"/>
          <w:bCs/>
          <w:color w:val="000000" w:themeColor="text1"/>
          <w14:textFill>
            <w14:solidFill>
              <w14:schemeClr w14:val="tx1"/>
            </w14:solidFill>
          </w14:textFill>
        </w:rPr>
        <w:t>2</w:t>
      </w:r>
      <w:r>
        <w:rPr>
          <w:rFonts w:hAnsiTheme="minorEastAsia" w:eastAsiaTheme="minorEastAsia"/>
          <w:bCs/>
          <w:color w:val="000000" w:themeColor="text1"/>
          <w14:textFill>
            <w14:solidFill>
              <w14:schemeClr w14:val="tx1"/>
            </w14:solidFill>
          </w14:textFill>
        </w:rPr>
        <w:t>）</w:t>
      </w:r>
    </w:p>
    <w:p>
      <w:pPr>
        <w:adjustRightInd w:val="0"/>
        <w:snapToGrid w:val="0"/>
        <w:spacing w:line="420" w:lineRule="exact"/>
        <w:ind w:firstLine="482" w:firstLineChars="200"/>
        <w:rPr>
          <w:rFonts w:eastAsiaTheme="minorEastAsia"/>
          <w:b/>
          <w:bCs/>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3.</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法定代表人身份证明书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3</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
          <w:bCs/>
          <w:color w:val="000000" w:themeColor="text1"/>
          <w14:textFill>
            <w14:solidFill>
              <w14:schemeClr w14:val="tx1"/>
            </w14:solidFill>
          </w14:textFill>
        </w:rPr>
      </w:pPr>
      <w:r>
        <w:rPr>
          <w:rFonts w:hint="eastAsia" w:eastAsiaTheme="minorEastAsia"/>
          <w:b/>
          <w:bCs/>
          <w:color w:val="000000" w:themeColor="text1"/>
          <w14:textFill>
            <w14:solidFill>
              <w14:schemeClr w14:val="tx1"/>
            </w14:solidFill>
          </w14:textFill>
        </w:rPr>
        <w:t>4.</w:t>
      </w:r>
      <w:r>
        <w:rPr>
          <w:rFonts w:eastAsiaTheme="minorEastAsia"/>
          <w:b/>
          <w:bCs/>
          <w:color w:val="000000" w:themeColor="text1"/>
          <w14:textFill>
            <w14:solidFill>
              <w14:schemeClr w14:val="tx1"/>
            </w14:solidFill>
          </w14:textFill>
        </w:rPr>
        <w:t xml:space="preserve">  </w:t>
      </w:r>
      <w:r>
        <w:rPr>
          <w:rFonts w:hint="eastAsia" w:eastAsiaTheme="minorEastAsia"/>
          <w:b/>
          <w:bCs/>
          <w:color w:val="000000" w:themeColor="text1"/>
          <w14:textFill>
            <w14:solidFill>
              <w14:schemeClr w14:val="tx1"/>
            </w14:solidFill>
          </w14:textFill>
        </w:rPr>
        <w:t>授权委托书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4</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5.</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声明</w:t>
      </w:r>
      <w:r>
        <w:rPr>
          <w:rFonts w:hAnsiTheme="minorEastAsia" w:eastAsiaTheme="minorEastAsia"/>
          <w:b/>
          <w:color w:val="000000" w:themeColor="text1"/>
          <w14:textFill>
            <w14:solidFill>
              <w14:schemeClr w14:val="tx1"/>
            </w14:solidFill>
          </w14:textFill>
        </w:rPr>
        <w:t>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5</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 xml:space="preserve">6.  </w:t>
      </w:r>
      <w:r>
        <w:rPr>
          <w:rFonts w:hint="eastAsia" w:hAnsiTheme="minorEastAsia" w:eastAsiaTheme="minorEastAsia"/>
          <w:b/>
          <w:color w:val="000000" w:themeColor="text1"/>
          <w14:textFill>
            <w14:solidFill>
              <w14:schemeClr w14:val="tx1"/>
            </w14:solidFill>
          </w14:textFill>
        </w:rPr>
        <w:t>近两</w:t>
      </w:r>
      <w:r>
        <w:rPr>
          <w:rFonts w:hAnsiTheme="minorEastAsia" w:eastAsiaTheme="minorEastAsia"/>
          <w:b/>
          <w:color w:val="000000" w:themeColor="text1"/>
          <w14:textFill>
            <w14:solidFill>
              <w14:schemeClr w14:val="tx1"/>
            </w14:solidFill>
          </w14:textFill>
        </w:rPr>
        <w:t>年内受到的行政处罚</w:t>
      </w:r>
      <w:r>
        <w:rPr>
          <w:rFonts w:hint="eastAsia" w:hAnsiTheme="minorEastAsia" w:eastAsiaTheme="minorEastAsia"/>
          <w:b/>
          <w:color w:val="000000" w:themeColor="text1"/>
          <w14:textFill>
            <w14:solidFill>
              <w14:schemeClr w14:val="tx1"/>
            </w14:solidFill>
          </w14:textFill>
        </w:rPr>
        <w:t>、作为被告的诉讼案件等合规事项的</w:t>
      </w:r>
      <w:r>
        <w:rPr>
          <w:rFonts w:hAnsiTheme="minorEastAsia" w:eastAsiaTheme="minorEastAsia"/>
          <w:b/>
          <w:color w:val="000000" w:themeColor="text1"/>
          <w14:textFill>
            <w14:solidFill>
              <w14:schemeClr w14:val="tx1"/>
            </w14:solidFill>
          </w14:textFill>
        </w:rPr>
        <w:t>情况说明</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7</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诚实</w:t>
      </w:r>
      <w:r>
        <w:rPr>
          <w:rFonts w:hAnsiTheme="minorEastAsia" w:eastAsiaTheme="minorEastAsia"/>
          <w:b/>
          <w:color w:val="000000" w:themeColor="text1"/>
          <w14:textFill>
            <w14:solidFill>
              <w14:schemeClr w14:val="tx1"/>
            </w14:solidFill>
          </w14:textFill>
        </w:rPr>
        <w:t>守信合规</w:t>
      </w:r>
      <w:r>
        <w:rPr>
          <w:b/>
          <w:color w:val="000000" w:themeColor="text1"/>
          <w14:textFill>
            <w14:solidFill>
              <w14:schemeClr w14:val="tx1"/>
            </w14:solidFill>
          </w14:textFill>
        </w:rPr>
        <w:t>承诺书（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6</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8.  </w:t>
      </w:r>
      <w:r>
        <w:rPr>
          <w:rFonts w:hint="eastAsia" w:hAnsiTheme="minorEastAsia" w:eastAsiaTheme="minorEastAsia"/>
          <w:b/>
          <w:color w:val="000000" w:themeColor="text1"/>
          <w14:textFill>
            <w14:solidFill>
              <w14:schemeClr w14:val="tx1"/>
            </w14:solidFill>
          </w14:textFill>
        </w:rPr>
        <w:t>企业相关资质</w:t>
      </w:r>
      <w:r>
        <w:rPr>
          <w:rFonts w:hAnsiTheme="minorEastAsia" w:eastAsiaTheme="minorEastAsia"/>
          <w:b/>
          <w:color w:val="000000" w:themeColor="text1"/>
          <w14:textFill>
            <w14:solidFill>
              <w14:schemeClr w14:val="tx1"/>
            </w14:solidFill>
          </w14:textFill>
        </w:rPr>
        <w:t>证明材料</w:t>
      </w:r>
      <w:r>
        <w:rPr>
          <w:rFonts w:hint="eastAsia" w:hAnsiTheme="minorEastAsia" w:eastAsiaTheme="minorEastAsia"/>
          <w:b/>
          <w:color w:val="000000" w:themeColor="text1"/>
          <w14:textFill>
            <w14:solidFill>
              <w14:schemeClr w14:val="tx1"/>
            </w14:solidFill>
          </w14:textFill>
        </w:rPr>
        <w:t>的复印/</w:t>
      </w:r>
      <w:r>
        <w:rPr>
          <w:rFonts w:hAnsiTheme="minorEastAsia" w:eastAsiaTheme="minorEastAsia"/>
          <w:b/>
          <w:color w:val="000000" w:themeColor="text1"/>
          <w14:textFill>
            <w14:solidFill>
              <w14:schemeClr w14:val="tx1"/>
            </w14:solidFill>
          </w14:textFill>
        </w:rPr>
        <w:t>扫描件</w:t>
      </w:r>
      <w:r>
        <w:rPr>
          <w:rFonts w:hint="eastAsia" w:hAnsiTheme="minorEastAsia" w:eastAsiaTheme="minorEastAsia"/>
          <w:b/>
          <w:color w:val="0000FF"/>
        </w:rPr>
        <w:t>（须由响应人提供）</w:t>
      </w:r>
    </w:p>
    <w:p>
      <w:pPr>
        <w:adjustRightInd w:val="0"/>
        <w:snapToGrid w:val="0"/>
        <w:spacing w:line="420" w:lineRule="exact"/>
        <w:ind w:firstLine="482" w:firstLineChars="200"/>
        <w:rPr>
          <w:rFonts w:hAnsiTheme="minorEastAsia" w:eastAsiaTheme="minorEastAsia"/>
          <w:b/>
          <w:color w:val="0000FF"/>
        </w:rPr>
      </w:pPr>
      <w:r>
        <w:rPr>
          <w:rFonts w:hAnsiTheme="minorEastAsia" w:eastAsiaTheme="minorEastAsia"/>
          <w:b/>
          <w:color w:val="000000" w:themeColor="text1"/>
          <w14:textFill>
            <w14:solidFill>
              <w14:schemeClr w14:val="tx1"/>
            </w14:solidFill>
          </w14:textFill>
        </w:rPr>
        <w:t>8</w:t>
      </w:r>
      <w:r>
        <w:rPr>
          <w:rFonts w:hint="eastAsia" w:hAnsiTheme="minorEastAsia" w:eastAsiaTheme="minorEastAsia"/>
          <w:b/>
          <w:color w:val="000000" w:themeColor="text1"/>
          <w14:textFill>
            <w14:solidFill>
              <w14:schemeClr w14:val="tx1"/>
            </w14:solidFill>
          </w14:textFill>
        </w:rPr>
        <w:t>.1</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企业营业执照</w:t>
      </w:r>
      <w:r>
        <w:rPr>
          <w:rFonts w:hint="eastAsia" w:hAnsiTheme="minorEastAsia" w:eastAsiaTheme="minorEastAsia"/>
          <w:b/>
          <w:color w:val="0000FF"/>
        </w:rPr>
        <w:t>（</w:t>
      </w:r>
      <w:r>
        <w:rPr>
          <w:rFonts w:hAnsiTheme="minorEastAsia" w:eastAsiaTheme="minorEastAsia"/>
          <w:b/>
          <w:color w:val="0000FF"/>
        </w:rPr>
        <w:t>分公司的</w:t>
      </w:r>
      <w:r>
        <w:rPr>
          <w:rFonts w:hint="eastAsia" w:hAnsiTheme="minorEastAsia" w:eastAsiaTheme="minorEastAsia"/>
          <w:b/>
          <w:color w:val="0000FF"/>
        </w:rPr>
        <w:t>需要</w:t>
      </w:r>
      <w:r>
        <w:rPr>
          <w:rFonts w:hAnsiTheme="minorEastAsia" w:eastAsiaTheme="minorEastAsia"/>
          <w:b/>
          <w:color w:val="0000FF"/>
        </w:rPr>
        <w:t>提供</w:t>
      </w:r>
      <w:r>
        <w:rPr>
          <w:rFonts w:hint="eastAsia" w:hAnsiTheme="minorEastAsia" w:eastAsiaTheme="minorEastAsia"/>
          <w:b/>
          <w:color w:val="0000FF"/>
        </w:rPr>
        <w:t>其总部</w:t>
      </w:r>
      <w:r>
        <w:rPr>
          <w:rFonts w:hAnsiTheme="minorEastAsia" w:eastAsiaTheme="minorEastAsia"/>
          <w:b/>
          <w:color w:val="0000FF"/>
        </w:rPr>
        <w:t>的</w:t>
      </w:r>
      <w:r>
        <w:rPr>
          <w:rFonts w:hint="eastAsia" w:hAnsiTheme="minorEastAsia" w:eastAsiaTheme="minorEastAsia"/>
          <w:b/>
          <w:color w:val="0000FF"/>
        </w:rPr>
        <w:t>相关</w:t>
      </w:r>
      <w:r>
        <w:rPr>
          <w:rFonts w:hAnsiTheme="minorEastAsia" w:eastAsiaTheme="minorEastAsia"/>
          <w:b/>
          <w:color w:val="0000FF"/>
        </w:rPr>
        <w:t>授权</w:t>
      </w:r>
      <w:r>
        <w:rPr>
          <w:rFonts w:hint="eastAsia" w:hAnsiTheme="minorEastAsia" w:eastAsiaTheme="minorEastAsia"/>
          <w:b/>
          <w:color w:val="0000FF"/>
        </w:rPr>
        <w:t>书</w:t>
      </w:r>
      <w:r>
        <w:rPr>
          <w:rFonts w:hAnsiTheme="minorEastAsia" w:eastAsiaTheme="minorEastAsia"/>
          <w:b/>
          <w:color w:val="0000FF"/>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8.2  </w:t>
      </w:r>
      <w:r>
        <w:rPr>
          <w:rFonts w:hint="eastAsia" w:hAnsiTheme="minorEastAsia" w:eastAsiaTheme="minorEastAsia"/>
          <w:b/>
          <w:color w:val="000000" w:themeColor="text1"/>
          <w14:textFill>
            <w14:solidFill>
              <w14:schemeClr w14:val="tx1"/>
            </w14:solidFill>
          </w14:textFill>
        </w:rPr>
        <w:t>企业资质等级证书等</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8</w:t>
      </w:r>
      <w:r>
        <w:rPr>
          <w:rFonts w:hint="eastAsia" w:hAnsiTheme="minorEastAsia" w:eastAsiaTheme="minorEastAsia"/>
          <w:b/>
          <w:color w:val="000000" w:themeColor="text1"/>
          <w14:textFill>
            <w14:solidFill>
              <w14:schemeClr w14:val="tx1"/>
            </w14:solidFill>
          </w14:textFill>
        </w:rPr>
        <w:t>.3</w:t>
      </w:r>
      <w:r>
        <w:rPr>
          <w:rFonts w:hAnsiTheme="minorEastAsia" w:eastAsiaTheme="minorEastAsia"/>
          <w:b/>
          <w:color w:val="000000" w:themeColor="text1"/>
          <w14:textFill>
            <w14:solidFill>
              <w14:schemeClr w14:val="tx1"/>
            </w14:solidFill>
          </w14:textFill>
        </w:rPr>
        <w:t xml:space="preserve">  资</w:t>
      </w:r>
      <w:r>
        <w:rPr>
          <w:rFonts w:hint="eastAsia" w:hAnsiTheme="minorEastAsia" w:eastAsiaTheme="minorEastAsia"/>
          <w:b/>
          <w:color w:val="000000" w:themeColor="text1"/>
          <w14:textFill>
            <w14:solidFill>
              <w14:schemeClr w14:val="tx1"/>
            </w14:solidFill>
          </w14:textFill>
        </w:rPr>
        <w:t>信证书（经</w:t>
      </w:r>
      <w:r>
        <w:rPr>
          <w:rFonts w:hAnsiTheme="minorEastAsia" w:eastAsiaTheme="minorEastAsia"/>
          <w:b/>
          <w:color w:val="000000" w:themeColor="text1"/>
          <w14:textFill>
            <w14:solidFill>
              <w14:schemeClr w14:val="tx1"/>
            </w14:solidFill>
          </w14:textFill>
        </w:rPr>
        <w:t>审计的年度</w:t>
      </w:r>
      <w:r>
        <w:rPr>
          <w:rFonts w:hint="eastAsia" w:hAnsiTheme="minorEastAsia" w:eastAsiaTheme="minorEastAsia"/>
          <w:b/>
          <w:color w:val="000000" w:themeColor="text1"/>
          <w14:textFill>
            <w14:solidFill>
              <w14:schemeClr w14:val="tx1"/>
            </w14:solidFill>
          </w14:textFill>
        </w:rPr>
        <w:t>财务三大</w:t>
      </w:r>
      <w:r>
        <w:rPr>
          <w:rFonts w:hAnsiTheme="minorEastAsia" w:eastAsiaTheme="minorEastAsia"/>
          <w:b/>
          <w:color w:val="000000" w:themeColor="text1"/>
          <w14:textFill>
            <w14:solidFill>
              <w14:schemeClr w14:val="tx1"/>
            </w14:solidFill>
          </w14:textFill>
        </w:rPr>
        <w:t>报表</w:t>
      </w:r>
      <w:r>
        <w:rPr>
          <w:rFonts w:hint="eastAsia" w:hAnsiTheme="minorEastAsia" w:eastAsiaTheme="minorEastAsia"/>
          <w:b/>
          <w:color w:val="000000" w:themeColor="text1"/>
          <w14:textFill>
            <w14:solidFill>
              <w14:schemeClr w14:val="tx1"/>
            </w14:solidFill>
          </w14:textFill>
        </w:rPr>
        <w:t>、</w:t>
      </w:r>
      <w:r>
        <w:rPr>
          <w:rFonts w:hAnsiTheme="minorEastAsia" w:eastAsiaTheme="minorEastAsia"/>
          <w:b/>
          <w:color w:val="000000" w:themeColor="text1"/>
          <w14:textFill>
            <w14:solidFill>
              <w14:schemeClr w14:val="tx1"/>
            </w14:solidFill>
          </w14:textFill>
        </w:rPr>
        <w:t>银行出具的信用等级证书</w:t>
      </w:r>
      <w:r>
        <w:rPr>
          <w:rFonts w:hint="eastAsia" w:hAnsiTheme="minorEastAsia" w:eastAsiaTheme="minorEastAsia"/>
          <w:b/>
          <w:color w:val="000000" w:themeColor="text1"/>
          <w14:textFill>
            <w14:solidFill>
              <w14:schemeClr w14:val="tx1"/>
            </w14:solidFill>
          </w14:textFill>
        </w:rPr>
        <w:t>或企业</w:t>
      </w:r>
      <w:r>
        <w:rPr>
          <w:rFonts w:hAnsiTheme="minorEastAsia" w:eastAsiaTheme="minorEastAsia"/>
          <w:b/>
          <w:color w:val="000000" w:themeColor="text1"/>
          <w14:textFill>
            <w14:solidFill>
              <w14:schemeClr w14:val="tx1"/>
            </w14:solidFill>
          </w14:textFill>
        </w:rPr>
        <w:t>资信证明</w:t>
      </w:r>
      <w:r>
        <w:rPr>
          <w:rFonts w:hint="eastAsia" w:hAnsiTheme="minorEastAsia" w:eastAsiaTheme="minorEastAsia"/>
          <w:b/>
          <w:color w:val="000000" w:themeColor="text1"/>
          <w14:textFill>
            <w14:solidFill>
              <w14:schemeClr w14:val="tx1"/>
            </w14:solidFill>
          </w14:textFill>
        </w:rPr>
        <w:t>等</w:t>
      </w:r>
      <w:r>
        <w:rPr>
          <w:rFonts w:hAnsiTheme="minorEastAsia" w:eastAsiaTheme="minorEastAsia"/>
          <w:b/>
          <w:color w:val="000000" w:themeColor="text1"/>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8.4  </w:t>
      </w:r>
      <w:r>
        <w:rPr>
          <w:rFonts w:hint="eastAsia" w:hAnsiTheme="minorEastAsia" w:eastAsiaTheme="minorEastAsia"/>
          <w:b/>
          <w:color w:val="000000" w:themeColor="text1"/>
          <w14:textFill>
            <w14:solidFill>
              <w14:schemeClr w14:val="tx1"/>
            </w14:solidFill>
          </w14:textFill>
        </w:rPr>
        <w:t>企业安全生产许可证、行业许可证等</w:t>
      </w:r>
    </w:p>
    <w:p>
      <w:pPr>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8.5  </w:t>
      </w:r>
      <w:r>
        <w:rPr>
          <w:rFonts w:hint="eastAsia" w:hAnsiTheme="minorEastAsia" w:eastAsiaTheme="minorEastAsia"/>
          <w:b/>
          <w:color w:val="000000" w:themeColor="text1"/>
          <w14:textFill>
            <w14:solidFill>
              <w14:schemeClr w14:val="tx1"/>
            </w14:solidFill>
          </w14:textFill>
        </w:rPr>
        <w:t>企业</w:t>
      </w:r>
      <w:r>
        <w:rPr>
          <w:rFonts w:hAnsiTheme="minorEastAsia" w:eastAsiaTheme="minorEastAsia"/>
          <w:b/>
          <w:color w:val="000000" w:themeColor="text1"/>
          <w14:textFill>
            <w14:solidFill>
              <w14:schemeClr w14:val="tx1"/>
            </w14:solidFill>
          </w14:textFill>
        </w:rPr>
        <w:t>质量、环境、职业健康安全管理体系认证证书</w:t>
      </w:r>
    </w:p>
    <w:p>
      <w:pPr>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8.6  </w:t>
      </w:r>
      <w:r>
        <w:rPr>
          <w:rFonts w:hint="eastAsia" w:hAnsiTheme="minorEastAsia" w:eastAsiaTheme="minorEastAsia"/>
          <w:b/>
          <w:color w:val="000000" w:themeColor="text1"/>
          <w14:textFill>
            <w14:solidFill>
              <w14:schemeClr w14:val="tx1"/>
            </w14:solidFill>
          </w14:textFill>
        </w:rPr>
        <w:t>业务（项目）经理、技术负责人等人员的执业、专业证书</w:t>
      </w:r>
    </w:p>
    <w:p>
      <w:pPr>
        <w:adjustRightInd w:val="0"/>
        <w:snapToGrid w:val="0"/>
        <w:spacing w:line="420" w:lineRule="exact"/>
        <w:ind w:firstLine="482" w:firstLineChars="200"/>
        <w:rPr>
          <w:rFonts w:eastAsiaTheme="minorEastAsia"/>
          <w:b/>
          <w:color w:val="000000" w:themeColor="text1"/>
          <w14:textFill>
            <w14:solidFill>
              <w14:schemeClr w14:val="tx1"/>
            </w14:solidFill>
          </w14:textFill>
        </w:rPr>
      </w:pPr>
      <w:bookmarkStart w:id="10" w:name="_Toc37234716"/>
      <w:bookmarkStart w:id="11" w:name="_Toc439161051"/>
      <w:r>
        <w:rPr>
          <w:rFonts w:hAnsiTheme="minorEastAsia" w:eastAsiaTheme="minorEastAsia"/>
          <w:b/>
          <w:color w:val="000000" w:themeColor="text1"/>
          <w14:textFill>
            <w14:solidFill>
              <w14:schemeClr w14:val="tx1"/>
            </w14:solidFill>
          </w14:textFill>
        </w:rPr>
        <w:t xml:space="preserve">9.  </w:t>
      </w:r>
      <w:r>
        <w:rPr>
          <w:b/>
          <w:color w:val="000000" w:themeColor="text1"/>
          <w14:textFill>
            <w14:solidFill>
              <w14:schemeClr w14:val="tx1"/>
            </w14:solidFill>
          </w14:textFill>
        </w:rPr>
        <w:t>工程</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项目）合法分包承诺书（</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7</w:t>
      </w:r>
      <w:r>
        <w:rPr>
          <w:rFonts w:hAnsiTheme="minorEastAsia" w:eastAsiaTheme="minorEastAsia"/>
          <w:bCs/>
          <w:color w:val="000000" w:themeColor="text1"/>
          <w:kern w:val="0"/>
          <w14:textFill>
            <w14:solidFill>
              <w14:schemeClr w14:val="tx1"/>
            </w14:solidFill>
          </w14:textFill>
        </w:rPr>
        <w:t>）</w:t>
      </w:r>
    </w:p>
    <w:p>
      <w:pPr>
        <w:snapToGrid w:val="0"/>
        <w:spacing w:line="420" w:lineRule="exact"/>
        <w:ind w:firstLine="482" w:firstLineChars="200"/>
        <w:outlineLvl w:val="0"/>
        <w:rPr>
          <w:rFonts w:asciiTheme="minorEastAsia" w:hAnsiTheme="minorEastAsia" w:eastAsiaTheme="minorEastAsia"/>
          <w:b/>
          <w:color w:val="FF0000"/>
        </w:rPr>
      </w:pPr>
      <w:r>
        <w:rPr>
          <w:rFonts w:hAnsiTheme="minorEastAsia" w:eastAsiaTheme="minorEastAsia"/>
          <w:b/>
          <w:color w:val="000000" w:themeColor="text1"/>
          <w14:textFill>
            <w14:solidFill>
              <w14:schemeClr w14:val="tx1"/>
            </w14:solidFill>
          </w14:textFill>
        </w:rPr>
        <w:t xml:space="preserve">10.  </w:t>
      </w:r>
      <w:r>
        <w:rPr>
          <w:rFonts w:hint="eastAsia" w:asciiTheme="minorEastAsia" w:hAnsiTheme="minorEastAsia" w:eastAsiaTheme="minorEastAsia"/>
          <w:b/>
        </w:rPr>
        <w:t>建设</w:t>
      </w:r>
      <w:r>
        <w:rPr>
          <w:rFonts w:asciiTheme="minorEastAsia" w:hAnsiTheme="minorEastAsia" w:eastAsiaTheme="minorEastAsia"/>
          <w:b/>
        </w:rPr>
        <w:t>工程</w:t>
      </w:r>
      <w:r>
        <w:rPr>
          <w:rFonts w:hint="eastAsia" w:asciiTheme="minorEastAsia" w:hAnsiTheme="minorEastAsia" w:eastAsiaTheme="minorEastAsia"/>
          <w:b/>
        </w:rPr>
        <w:t>HSE专项评审标准及计分表响应</w:t>
      </w:r>
      <w:r>
        <w:rPr>
          <w:rFonts w:eastAsiaTheme="minorEastAsia"/>
          <w:b/>
          <w:color w:val="FF0000"/>
        </w:rPr>
        <w:t>[</w:t>
      </w:r>
      <w:r>
        <w:rPr>
          <w:rFonts w:hint="eastAsia" w:hAnsiTheme="minorEastAsia" w:eastAsiaTheme="minorEastAsia"/>
          <w:b/>
          <w:color w:val="FF0000"/>
        </w:rPr>
        <w:t>《关于发布中国石化工程项目招标有关标准文件的通知》</w:t>
      </w:r>
      <w:r>
        <w:rPr>
          <w:rFonts w:hAnsiTheme="minorEastAsia" w:eastAsiaTheme="minorEastAsia"/>
          <w:b/>
          <w:color w:val="FF0000"/>
        </w:rPr>
        <w:t>“</w:t>
      </w:r>
      <w:r>
        <w:rPr>
          <w:rFonts w:hint="eastAsia" w:hAnsiTheme="minorEastAsia" w:eastAsiaTheme="minorEastAsia"/>
          <w:b/>
          <w:color w:val="FF0000"/>
        </w:rPr>
        <w:t>附件2.中国石化工程项目招标标准文件（2022版）之附件</w:t>
      </w:r>
      <w:r>
        <w:rPr>
          <w:rFonts w:hAnsiTheme="minorEastAsia" w:eastAsiaTheme="minorEastAsia"/>
          <w:b/>
          <w:color w:val="FF0000"/>
        </w:rPr>
        <w:t>12</w:t>
      </w:r>
      <w:r>
        <w:rPr>
          <w:rFonts w:hint="eastAsia" w:hAnsiTheme="minorEastAsia" w:eastAsiaTheme="minorEastAsia"/>
          <w:b/>
          <w:color w:val="FF0000"/>
        </w:rPr>
        <w:t>：投标人HSE响应书</w:t>
      </w:r>
      <w:r>
        <w:rPr>
          <w:rFonts w:hAnsiTheme="minorEastAsia" w:eastAsiaTheme="minorEastAsia"/>
          <w:b/>
          <w:color w:val="FF0000"/>
        </w:rPr>
        <w:t>”</w:t>
      </w:r>
      <w:r>
        <w:rPr>
          <w:rFonts w:hint="eastAsia" w:asciiTheme="minorEastAsia" w:hAnsiTheme="minorEastAsia" w:eastAsiaTheme="minorEastAsia"/>
          <w:b/>
          <w:color w:val="FF0000"/>
        </w:rPr>
        <w:t>]</w:t>
      </w:r>
    </w:p>
    <w:p>
      <w:pPr>
        <w:pStyle w:val="2"/>
        <w:adjustRightInd w:val="0"/>
        <w:snapToGrid w:val="0"/>
        <w:spacing w:line="420" w:lineRule="exact"/>
        <w:ind w:firstLine="643" w:firstLineChars="200"/>
        <w:rPr>
          <w:rFonts w:ascii="楷体_GB2312" w:eastAsia="楷体_GB2312" w:hAnsiTheme="minorEastAsia"/>
          <w:sz w:val="32"/>
        </w:rPr>
      </w:pPr>
    </w:p>
    <w:p>
      <w:pPr>
        <w:pStyle w:val="2"/>
        <w:adjustRightInd w:val="0"/>
        <w:snapToGrid w:val="0"/>
        <w:spacing w:line="420" w:lineRule="exact"/>
        <w:ind w:firstLine="643" w:firstLineChars="200"/>
        <w:rPr>
          <w:rFonts w:ascii="楷体_GB2312" w:hAnsi="Times New Roman" w:eastAsia="楷体_GB2312"/>
          <w:sz w:val="32"/>
        </w:rPr>
      </w:pPr>
      <w:r>
        <w:rPr>
          <w:rFonts w:hint="eastAsia" w:ascii="楷体_GB2312" w:eastAsia="楷体_GB2312" w:hAnsiTheme="minorEastAsia"/>
          <w:sz w:val="32"/>
        </w:rPr>
        <w:t>二、技术响应文件包含的内容及格式</w:t>
      </w:r>
      <w:bookmarkEnd w:id="10"/>
      <w:bookmarkEnd w:id="11"/>
    </w:p>
    <w:p>
      <w:pPr>
        <w:adjustRightInd w:val="0"/>
        <w:snapToGrid w:val="0"/>
        <w:spacing w:line="420" w:lineRule="exact"/>
        <w:ind w:firstLine="482" w:firstLineChars="200"/>
        <w:rPr>
          <w:rFonts w:eastAsiaTheme="minorEastAsia"/>
          <w:bCs/>
          <w:color w:val="000000" w:themeColor="text1"/>
          <w:kern w:val="0"/>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 xml:space="preserve">1. </w:t>
      </w:r>
      <w:r>
        <w:rPr>
          <w:rFonts w:hAnsiTheme="minorEastAsia" w:eastAsiaTheme="minorEastAsia"/>
          <w:b/>
          <w:color w:val="000000" w:themeColor="text1"/>
          <w14:textFill>
            <w14:solidFill>
              <w14:schemeClr w14:val="tx1"/>
            </w14:solidFill>
          </w14:textFill>
        </w:rPr>
        <w:t xml:space="preserve"> 技术</w:t>
      </w:r>
      <w:r>
        <w:rPr>
          <w:rFonts w:hint="eastAsia" w:hAnsiTheme="minorEastAsia" w:eastAsiaTheme="minorEastAsia"/>
          <w:b/>
          <w:color w:val="000000" w:themeColor="text1"/>
          <w14:textFill>
            <w14:solidFill>
              <w14:schemeClr w14:val="tx1"/>
            </w14:solidFill>
          </w14:textFill>
        </w:rPr>
        <w:t>响应</w:t>
      </w:r>
      <w:r>
        <w:rPr>
          <w:rFonts w:hAnsiTheme="minorEastAsia" w:eastAsiaTheme="minorEastAsia"/>
          <w:b/>
          <w:color w:val="000000" w:themeColor="text1"/>
          <w14:textFill>
            <w14:solidFill>
              <w14:schemeClr w14:val="tx1"/>
            </w14:solidFill>
          </w14:textFill>
        </w:rPr>
        <w:t>文件封面</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8</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2.</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对可</w:t>
      </w:r>
      <w:r>
        <w:rPr>
          <w:rFonts w:hAnsiTheme="minorEastAsia" w:eastAsiaTheme="minorEastAsia"/>
          <w:b/>
          <w:color w:val="000000" w:themeColor="text1"/>
          <w14:textFill>
            <w14:solidFill>
              <w14:schemeClr w14:val="tx1"/>
            </w14:solidFill>
          </w14:textFill>
        </w:rPr>
        <w:t>投入的技术</w:t>
      </w:r>
      <w:r>
        <w:rPr>
          <w:rFonts w:hint="eastAsia" w:hAnsiTheme="minorEastAsia" w:eastAsiaTheme="minorEastAsia"/>
          <w:b/>
          <w:color w:val="000000" w:themeColor="text1"/>
          <w14:textFill>
            <w14:solidFill>
              <w14:schemeClr w14:val="tx1"/>
            </w14:solidFill>
          </w14:textFill>
        </w:rPr>
        <w:t>、人力</w:t>
      </w:r>
      <w:r>
        <w:rPr>
          <w:rFonts w:hAnsiTheme="minorEastAsia" w:eastAsiaTheme="minorEastAsia"/>
          <w:b/>
          <w:color w:val="000000" w:themeColor="text1"/>
          <w14:textFill>
            <w14:solidFill>
              <w14:schemeClr w14:val="tx1"/>
            </w14:solidFill>
          </w14:textFill>
        </w:rPr>
        <w:t>和</w:t>
      </w:r>
      <w:r>
        <w:rPr>
          <w:rFonts w:hint="eastAsia" w:hAnsiTheme="minorEastAsia" w:eastAsiaTheme="minorEastAsia"/>
          <w:b/>
          <w:color w:val="000000" w:themeColor="text1"/>
          <w14:textFill>
            <w14:solidFill>
              <w14:schemeClr w14:val="tx1"/>
            </w14:solidFill>
          </w14:textFill>
        </w:rPr>
        <w:t>财力等资源做出承诺；</w:t>
      </w:r>
    </w:p>
    <w:p>
      <w:pPr>
        <w:adjustRightInd w:val="0"/>
        <w:snapToGrid w:val="0"/>
        <w:spacing w:line="420" w:lineRule="exact"/>
        <w:ind w:firstLine="482" w:firstLineChars="200"/>
        <w:rPr>
          <w:rFonts w:eastAsiaTheme="minorEastAsia"/>
          <w:color w:val="000000" w:themeColor="text1"/>
          <w:kern w:val="0"/>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3.</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响应</w:t>
      </w:r>
      <w:r>
        <w:rPr>
          <w:rFonts w:hAnsiTheme="minorEastAsia" w:eastAsiaTheme="minorEastAsia"/>
          <w:b/>
          <w:color w:val="000000" w:themeColor="text1"/>
          <w14:textFill>
            <w14:solidFill>
              <w14:schemeClr w14:val="tx1"/>
            </w14:solidFill>
          </w14:textFill>
        </w:rPr>
        <w:t>人</w:t>
      </w:r>
      <w:r>
        <w:rPr>
          <w:rFonts w:hint="eastAsia" w:hAnsiTheme="minorEastAsia" w:eastAsiaTheme="minorEastAsia"/>
          <w:b/>
          <w:color w:val="000000" w:themeColor="text1"/>
          <w14:textFill>
            <w14:solidFill>
              <w14:schemeClr w14:val="tx1"/>
            </w14:solidFill>
          </w14:textFill>
        </w:rPr>
        <w:t>拟委派的主要管理人员</w:t>
      </w:r>
      <w:r>
        <w:rPr>
          <w:rFonts w:hAnsiTheme="minorEastAsia" w:eastAsiaTheme="minorEastAsia"/>
          <w:b/>
          <w:color w:val="000000" w:themeColor="text1"/>
          <w14:textFill>
            <w14:solidFill>
              <w14:schemeClr w14:val="tx1"/>
            </w14:solidFill>
          </w14:textFill>
        </w:rPr>
        <w:t>情况表</w:t>
      </w:r>
      <w:r>
        <w:rPr>
          <w:rFonts w:hAnsiTheme="minorEastAsia" w:eastAsiaTheme="minorEastAsia"/>
          <w:bCs/>
          <w:color w:val="000000" w:themeColor="text1"/>
          <w:kern w:val="0"/>
          <w14:textFill>
            <w14:solidFill>
              <w14:schemeClr w14:val="tx1"/>
            </w14:solidFill>
          </w14:textFill>
        </w:rPr>
        <w:t>（格式见附件</w:t>
      </w:r>
      <w:r>
        <w:rPr>
          <w:rFonts w:eastAsiaTheme="minorEastAsia"/>
          <w:bCs/>
          <w:color w:val="000000" w:themeColor="text1"/>
          <w:kern w:val="0"/>
          <w14:textFill>
            <w14:solidFill>
              <w14:schemeClr w14:val="tx1"/>
            </w14:solidFill>
          </w14:textFill>
        </w:rPr>
        <w:t>9</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Cs/>
          <w:color w:val="000000" w:themeColor="text1"/>
          <w:kern w:val="0"/>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4.</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安全管理目标及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响应文件编制须知”第二条、第1点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Cs/>
          <w:color w:val="000000" w:themeColor="text1"/>
          <w:kern w:val="0"/>
          <w14:textFill>
            <w14:solidFill>
              <w14:schemeClr w14:val="tx1"/>
            </w14:solidFill>
          </w14:textFill>
        </w:rPr>
      </w:pPr>
      <w:r>
        <w:rPr>
          <w:b/>
        </w:rPr>
        <w:t>5.  安全保证</w:t>
      </w:r>
      <w:r>
        <w:rPr>
          <w:rFonts w:hint="eastAsia"/>
          <w:b/>
        </w:rPr>
        <w:t>措施</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参见“须知”第二条、第2点，</w:t>
      </w:r>
      <w:r>
        <w:rPr>
          <w:rFonts w:hint="eastAsia" w:hAnsiTheme="minorEastAsia" w:eastAsiaTheme="minorEastAsia"/>
          <w:b/>
          <w:color w:val="0000FF"/>
        </w:rPr>
        <w:t>须由响应人编写</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
          <w:bCs/>
          <w:color w:val="000000" w:themeColor="text1"/>
          <w:kern w:val="0"/>
          <w14:textFill>
            <w14:solidFill>
              <w14:schemeClr w14:val="tx1"/>
            </w14:solidFill>
          </w14:textFill>
        </w:rPr>
      </w:pPr>
      <w:r>
        <w:rPr>
          <w:rFonts w:hint="eastAsia" w:eastAsiaTheme="minorEastAsia"/>
          <w:b/>
          <w:bCs/>
          <w:color w:val="000000" w:themeColor="text1"/>
          <w:kern w:val="0"/>
          <w14:textFill>
            <w14:solidFill>
              <w14:schemeClr w14:val="tx1"/>
            </w14:solidFill>
          </w14:textFill>
        </w:rPr>
        <w:t>6.</w:t>
      </w:r>
      <w:r>
        <w:rPr>
          <w:rFonts w:eastAsiaTheme="minorEastAsia"/>
          <w:b/>
          <w:bCs/>
          <w:color w:val="000000" w:themeColor="text1"/>
          <w:kern w:val="0"/>
          <w14:textFill>
            <w14:solidFill>
              <w14:schemeClr w14:val="tx1"/>
            </w14:solidFill>
          </w14:textFill>
        </w:rPr>
        <w:t xml:space="preserve">  </w:t>
      </w:r>
      <w:r>
        <w:rPr>
          <w:rFonts w:hint="eastAsia" w:eastAsiaTheme="minorEastAsia"/>
          <w:b/>
          <w:bCs/>
          <w:color w:val="000000" w:themeColor="text1"/>
          <w:kern w:val="0"/>
          <w14:textFill>
            <w14:solidFill>
              <w14:schemeClr w14:val="tx1"/>
            </w14:solidFill>
          </w14:textFill>
        </w:rPr>
        <w:t>业务</w:t>
      </w:r>
      <w:r>
        <w:rPr>
          <w:rFonts w:eastAsiaTheme="minorEastAsia"/>
          <w:b/>
          <w:bCs/>
          <w:color w:val="000000" w:themeColor="text1"/>
          <w:kern w:val="0"/>
          <w14:textFill>
            <w14:solidFill>
              <w14:schemeClr w14:val="tx1"/>
            </w14:solidFill>
          </w14:textFill>
        </w:rPr>
        <w:t>（</w:t>
      </w:r>
      <w:r>
        <w:rPr>
          <w:rFonts w:hint="eastAsia" w:eastAsiaTheme="minorEastAsia"/>
          <w:b/>
          <w:bCs/>
          <w:color w:val="000000" w:themeColor="text1"/>
          <w:kern w:val="0"/>
          <w14:textFill>
            <w14:solidFill>
              <w14:schemeClr w14:val="tx1"/>
            </w14:solidFill>
          </w14:textFill>
        </w:rPr>
        <w:t>项目）参保承诺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响应文件编制须知”第二条、第</w:t>
      </w:r>
      <w:r>
        <w:rPr>
          <w:rFonts w:hAnsiTheme="minorEastAsia" w:eastAsiaTheme="minorEastAsia"/>
          <w:bCs/>
          <w:color w:val="000000" w:themeColor="text1"/>
          <w:kern w:val="0"/>
          <w14:textFill>
            <w14:solidFill>
              <w14:schemeClr w14:val="tx1"/>
            </w14:solidFill>
          </w14:textFill>
        </w:rPr>
        <w:t>3</w:t>
      </w:r>
      <w:r>
        <w:rPr>
          <w:rFonts w:hint="eastAsia" w:hAnsiTheme="minorEastAsia" w:eastAsiaTheme="minorEastAsia"/>
          <w:bCs/>
          <w:color w:val="000000" w:themeColor="text1"/>
          <w:kern w:val="0"/>
          <w14:textFill>
            <w14:solidFill>
              <w14:schemeClr w14:val="tx1"/>
            </w14:solidFill>
          </w14:textFill>
        </w:rPr>
        <w:t>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Cs/>
          <w:color w:val="000000" w:themeColor="text1"/>
          <w:kern w:val="0"/>
          <w14:textFill>
            <w14:solidFill>
              <w14:schemeClr w14:val="tx1"/>
            </w14:solidFill>
          </w14:textFill>
        </w:rPr>
      </w:pPr>
      <w:r>
        <w:rPr>
          <w:rFonts w:eastAsiaTheme="minorEastAsia"/>
          <w:b/>
          <w:bCs/>
          <w:color w:val="000000" w:themeColor="text1"/>
          <w:kern w:val="0"/>
          <w14:textFill>
            <w14:solidFill>
              <w14:schemeClr w14:val="tx1"/>
            </w14:solidFill>
          </w14:textFill>
        </w:rPr>
        <w:t xml:space="preserve">7.  </w:t>
      </w:r>
      <w:r>
        <w:rPr>
          <w:rFonts w:hint="eastAsia" w:eastAsiaTheme="minorEastAsia"/>
          <w:b/>
          <w:bCs/>
          <w:color w:val="000000" w:themeColor="text1"/>
          <w:kern w:val="0"/>
          <w14:textFill>
            <w14:solidFill>
              <w14:schemeClr w14:val="tx1"/>
            </w14:solidFill>
          </w14:textFill>
        </w:rPr>
        <w:t>环保</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响应文件编制须知”第二条、第</w:t>
      </w:r>
      <w:r>
        <w:rPr>
          <w:rFonts w:hAnsiTheme="minorEastAsia" w:eastAsiaTheme="minorEastAsia"/>
          <w:bCs/>
          <w:color w:val="000000" w:themeColor="text1"/>
          <w:kern w:val="0"/>
          <w14:textFill>
            <w14:solidFill>
              <w14:schemeClr w14:val="tx1"/>
            </w14:solidFill>
          </w14:textFill>
        </w:rPr>
        <w:t>4</w:t>
      </w:r>
      <w:r>
        <w:rPr>
          <w:rFonts w:hint="eastAsia" w:hAnsiTheme="minorEastAsia" w:eastAsiaTheme="minorEastAsia"/>
          <w:bCs/>
          <w:color w:val="000000" w:themeColor="text1"/>
          <w:kern w:val="0"/>
          <w14:textFill>
            <w14:solidFill>
              <w14:schemeClr w14:val="tx1"/>
            </w14:solidFill>
          </w14:textFill>
        </w:rPr>
        <w:t>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eastAsiaTheme="minorEastAsia"/>
          <w:bCs/>
          <w:color w:val="000000" w:themeColor="text1"/>
          <w:kern w:val="0"/>
          <w14:textFill>
            <w14:solidFill>
              <w14:schemeClr w14:val="tx1"/>
            </w14:solidFill>
          </w14:textFill>
        </w:rPr>
      </w:pPr>
      <w:r>
        <w:rPr>
          <w:b/>
        </w:rPr>
        <w:t xml:space="preserve">8.  </w:t>
      </w:r>
      <w:r>
        <w:rPr>
          <w:rFonts w:hint="eastAsia"/>
          <w:b/>
        </w:rPr>
        <w:t>分包管理</w:t>
      </w:r>
      <w:r>
        <w:rPr>
          <w:rFonts w:hint="eastAsia" w:hAnsiTheme="minorEastAsia" w:eastAsiaTheme="minorEastAsia"/>
          <w:b/>
        </w:rPr>
        <w:t>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响应文件编制须知”第二条、第</w:t>
      </w:r>
      <w:r>
        <w:rPr>
          <w:rFonts w:hAnsiTheme="minorEastAsia" w:eastAsiaTheme="minorEastAsia"/>
          <w:bCs/>
          <w:color w:val="000000" w:themeColor="text1"/>
          <w:kern w:val="0"/>
          <w14:textFill>
            <w14:solidFill>
              <w14:schemeClr w14:val="tx1"/>
            </w14:solidFill>
          </w14:textFill>
        </w:rPr>
        <w:t>5</w:t>
      </w:r>
      <w:r>
        <w:rPr>
          <w:rFonts w:hint="eastAsia" w:hAnsiTheme="minorEastAsia" w:eastAsiaTheme="minorEastAsia"/>
          <w:bCs/>
          <w:color w:val="000000" w:themeColor="text1"/>
          <w:kern w:val="0"/>
          <w14:textFill>
            <w14:solidFill>
              <w14:schemeClr w14:val="tx1"/>
            </w14:solidFill>
          </w14:textFill>
        </w:rPr>
        <w:t>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b/>
        </w:rPr>
        <w:t xml:space="preserve">9.  </w:t>
      </w:r>
      <w:r>
        <w:rPr>
          <w:rFonts w:hint="eastAsia"/>
          <w:b/>
        </w:rPr>
        <w:t>脚手架管理</w:t>
      </w:r>
      <w:r>
        <w:rPr>
          <w:rFonts w:hint="eastAsia" w:hAnsiTheme="minorEastAsia" w:eastAsiaTheme="minorEastAsia"/>
          <w:b/>
          <w:color w:val="000000" w:themeColor="text1"/>
          <w14:textFill>
            <w14:solidFill>
              <w14:schemeClr w14:val="tx1"/>
            </w14:solidFill>
          </w14:textFill>
        </w:rPr>
        <w:t>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响应文件编制须知”第二条、第</w:t>
      </w:r>
      <w:r>
        <w:rPr>
          <w:rFonts w:hAnsiTheme="minorEastAsia" w:eastAsiaTheme="minorEastAsia"/>
          <w:bCs/>
          <w:color w:val="000000" w:themeColor="text1"/>
          <w:kern w:val="0"/>
          <w14:textFill>
            <w14:solidFill>
              <w14:schemeClr w14:val="tx1"/>
            </w14:solidFill>
          </w14:textFill>
        </w:rPr>
        <w:t>6</w:t>
      </w:r>
      <w:r>
        <w:rPr>
          <w:rFonts w:hint="eastAsia" w:hAnsiTheme="minorEastAsia" w:eastAsiaTheme="minorEastAsia"/>
          <w:bCs/>
          <w:color w:val="000000" w:themeColor="text1"/>
          <w:kern w:val="0"/>
          <w14:textFill>
            <w14:solidFill>
              <w14:schemeClr w14:val="tx1"/>
            </w14:solidFill>
          </w14:textFill>
        </w:rPr>
        <w:t>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10.  </w:t>
      </w:r>
      <w:r>
        <w:rPr>
          <w:rFonts w:hint="eastAsia" w:hAnsiTheme="minorEastAsia" w:eastAsiaTheme="minorEastAsia"/>
          <w:b/>
          <w:color w:val="000000" w:themeColor="text1"/>
          <w14:textFill>
            <w14:solidFill>
              <w14:schemeClr w14:val="tx1"/>
            </w14:solidFill>
          </w14:textFill>
        </w:rPr>
        <w:t>技术</w:t>
      </w:r>
      <w:r>
        <w:rPr>
          <w:rFonts w:hAnsiTheme="minorEastAsia" w:eastAsiaTheme="minorEastAsia"/>
          <w:b/>
          <w:color w:val="000000" w:themeColor="text1"/>
          <w14:textFill>
            <w14:solidFill>
              <w14:schemeClr w14:val="tx1"/>
            </w14:solidFill>
          </w14:textFill>
        </w:rPr>
        <w:t>要求及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响应文件编制须知”第三条</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eastAsia"/>
          <w:b/>
        </w:rPr>
        <w:t xml:space="preserve">11. </w:t>
      </w:r>
      <w:r>
        <w:rPr>
          <w:b/>
        </w:rPr>
        <w:t xml:space="preserve"> </w:t>
      </w:r>
      <w:r>
        <w:rPr>
          <w:rFonts w:hint="eastAsia"/>
          <w:b/>
        </w:rPr>
        <w:t>质量管理目标</w:t>
      </w:r>
      <w:r>
        <w:rPr>
          <w:rFonts w:hint="eastAsia" w:hAnsiTheme="minorEastAsia" w:eastAsiaTheme="minorEastAsia"/>
          <w:b/>
          <w:color w:val="000000" w:themeColor="text1"/>
          <w14:textFill>
            <w14:solidFill>
              <w14:schemeClr w14:val="tx1"/>
            </w14:solidFill>
          </w14:textFill>
        </w:rPr>
        <w:t>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响应文件编制须知”第四条、第1点</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 xml:space="preserve">12.  </w:t>
      </w:r>
      <w:r>
        <w:rPr>
          <w:rFonts w:hint="eastAsia" w:hAnsiTheme="minorEastAsia" w:eastAsiaTheme="minorEastAsia"/>
          <w:b/>
          <w:color w:val="000000" w:themeColor="text1"/>
          <w14:textFill>
            <w14:solidFill>
              <w14:schemeClr w14:val="tx1"/>
            </w14:solidFill>
          </w14:textFill>
        </w:rPr>
        <w:t>质量保证体系与质量控制措施简述</w:t>
      </w:r>
      <w:r>
        <w:rPr>
          <w:rFonts w:hint="eastAsia" w:hAnsiTheme="minorEastAsia" w:eastAsiaTheme="minorEastAsia"/>
          <w:b/>
          <w:color w:val="0000FF"/>
        </w:rPr>
        <w:t>（须由响应人编写）</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bCs/>
        </w:rPr>
        <w:t>13.  工期</w:t>
      </w:r>
      <w:r>
        <w:rPr>
          <w:rFonts w:hint="eastAsia"/>
          <w:b/>
        </w:rPr>
        <w:t>管理目标</w:t>
      </w:r>
      <w:r>
        <w:rPr>
          <w:rFonts w:hint="eastAsia" w:hAnsiTheme="minorEastAsia" w:eastAsiaTheme="minorEastAsia"/>
          <w:b/>
          <w:color w:val="000000" w:themeColor="text1"/>
          <w14:textFill>
            <w14:solidFill>
              <w14:schemeClr w14:val="tx1"/>
            </w14:solidFill>
          </w14:textFill>
        </w:rPr>
        <w:t>及</w:t>
      </w:r>
      <w:r>
        <w:rPr>
          <w:rFonts w:hint="eastAsia"/>
          <w:b/>
          <w:color w:val="0000FF"/>
          <w:highlight w:val="yellow"/>
        </w:rPr>
        <w:t>承诺</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color w:val="FF0000"/>
        </w:rPr>
        <w:t>竞争性选商</w:t>
      </w:r>
      <w:r>
        <w:rPr>
          <w:rFonts w:hint="eastAsia" w:hAnsiTheme="minorEastAsia" w:eastAsiaTheme="minorEastAsia"/>
          <w:bCs/>
          <w:color w:val="000000" w:themeColor="text1"/>
          <w:kern w:val="0"/>
          <w14:textFill>
            <w14:solidFill>
              <w14:schemeClr w14:val="tx1"/>
            </w14:solidFill>
          </w14:textFill>
        </w:rPr>
        <w:t>响应文件编制须知”第三条</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rPr>
          <w:rFonts w:hAnsiTheme="minorEastAsia"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14.  工程进度计划与保证措施</w:t>
      </w:r>
      <w:r>
        <w:rPr>
          <w:rFonts w:hint="eastAsia" w:hAnsiTheme="minorEastAsia" w:eastAsiaTheme="minorEastAsia"/>
          <w:b/>
          <w:color w:val="0000FF"/>
        </w:rPr>
        <w:t>（须由响应人编写）</w:t>
      </w:r>
    </w:p>
    <w:p>
      <w:pPr>
        <w:adjustRightInd w:val="0"/>
        <w:snapToGrid w:val="0"/>
        <w:spacing w:line="420" w:lineRule="exact"/>
        <w:ind w:firstLine="482" w:firstLineChars="200"/>
        <w:jc w:val="left"/>
        <w:rPr>
          <w:rFonts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15.  现场</w:t>
      </w:r>
      <w:r>
        <w:rPr>
          <w:rFonts w:hAnsiTheme="minorEastAsia" w:eastAsiaTheme="minorEastAsia"/>
          <w:b/>
          <w:bCs/>
        </w:rPr>
        <w:t>文明</w:t>
      </w:r>
      <w:r>
        <w:rPr>
          <w:rFonts w:hAnsiTheme="minorEastAsia" w:eastAsiaTheme="minorEastAsia"/>
          <w:b/>
          <w:color w:val="000000" w:themeColor="text1"/>
          <w14:textFill>
            <w14:solidFill>
              <w14:schemeClr w14:val="tx1"/>
            </w14:solidFill>
          </w14:textFill>
        </w:rPr>
        <w:t>施工</w:t>
      </w:r>
      <w:r>
        <w:rPr>
          <w:rFonts w:hint="eastAsia"/>
          <w:b/>
        </w:rPr>
        <w:t>管理目标</w:t>
      </w:r>
      <w:r>
        <w:rPr>
          <w:rFonts w:hint="eastAsia" w:hAnsiTheme="minorEastAsia" w:eastAsiaTheme="minorEastAsia"/>
          <w:b/>
          <w:color w:val="000000" w:themeColor="text1"/>
          <w14:textFill>
            <w14:solidFill>
              <w14:schemeClr w14:val="tx1"/>
            </w14:solidFill>
          </w14:textFill>
        </w:rPr>
        <w:t>及</w:t>
      </w:r>
      <w:r>
        <w:rPr>
          <w:rFonts w:hAnsiTheme="minorEastAsia" w:eastAsiaTheme="minorEastAsia"/>
          <w:b/>
          <w:color w:val="000000" w:themeColor="text1"/>
          <w14:textFill>
            <w14:solidFill>
              <w14:schemeClr w14:val="tx1"/>
            </w14:solidFill>
          </w14:textFill>
        </w:rPr>
        <w:t>措施</w:t>
      </w:r>
      <w:r>
        <w:rPr>
          <w:rFonts w:hint="eastAsia" w:hAnsiTheme="minorEastAsia" w:eastAsiaTheme="minorEastAsia"/>
          <w:b/>
          <w:color w:val="0000FF"/>
        </w:rPr>
        <w:t>（须由响应人编写）</w:t>
      </w:r>
    </w:p>
    <w:p>
      <w:pPr>
        <w:adjustRightInd w:val="0"/>
        <w:snapToGrid w:val="0"/>
        <w:spacing w:line="420" w:lineRule="exact"/>
        <w:ind w:firstLine="482" w:firstLineChars="200"/>
        <w:jc w:val="left"/>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 xml:space="preserve">16.  </w:t>
      </w:r>
      <w:r>
        <w:rPr>
          <w:rFonts w:hint="eastAsia" w:eastAsiaTheme="minorEastAsia"/>
          <w:b/>
          <w:color w:val="000000" w:themeColor="text1"/>
          <w14:textFill>
            <w14:solidFill>
              <w14:schemeClr w14:val="tx1"/>
            </w14:solidFill>
          </w14:textFill>
        </w:rPr>
        <w:t>合同主要</w:t>
      </w:r>
      <w:r>
        <w:rPr>
          <w:rFonts w:eastAsiaTheme="minorEastAsia"/>
          <w:b/>
          <w:color w:val="000000" w:themeColor="text1"/>
          <w14:textFill>
            <w14:solidFill>
              <w14:schemeClr w14:val="tx1"/>
            </w14:solidFill>
          </w14:textFill>
        </w:rPr>
        <w:t>条款的响应</w:t>
      </w:r>
    </w:p>
    <w:p>
      <w:pPr>
        <w:adjustRightInd w:val="0"/>
        <w:snapToGrid w:val="0"/>
        <w:spacing w:line="420" w:lineRule="exact"/>
        <w:ind w:firstLine="482" w:firstLineChars="200"/>
        <w:jc w:val="left"/>
        <w:rPr>
          <w:rFonts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 xml:space="preserve">17. </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费用结算原则的响应</w:t>
      </w:r>
      <w:r>
        <w:rPr>
          <w:rFonts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000000" w:themeColor="text1"/>
          <w:kern w:val="0"/>
          <w14:textFill>
            <w14:solidFill>
              <w14:schemeClr w14:val="tx1"/>
            </w14:solidFill>
          </w14:textFill>
        </w:rPr>
        <w:t>参</w:t>
      </w:r>
      <w:r>
        <w:rPr>
          <w:rFonts w:hAnsiTheme="minorEastAsia" w:eastAsiaTheme="minorEastAsia"/>
          <w:bCs/>
          <w:color w:val="000000" w:themeColor="text1"/>
          <w:kern w:val="0"/>
          <w14:textFill>
            <w14:solidFill>
              <w14:schemeClr w14:val="tx1"/>
            </w14:solidFill>
          </w14:textFill>
        </w:rPr>
        <w:t>见</w:t>
      </w:r>
      <w:r>
        <w:rPr>
          <w:rFonts w:hint="eastAsia" w:hAnsiTheme="minorEastAsia" w:eastAsiaTheme="minorEastAsia"/>
          <w:bCs/>
          <w:color w:val="000000" w:themeColor="text1"/>
          <w:kern w:val="0"/>
          <w14:textFill>
            <w14:solidFill>
              <w14:schemeClr w14:val="tx1"/>
            </w14:solidFill>
          </w14:textFill>
        </w:rPr>
        <w:t>“</w:t>
      </w:r>
      <w:r>
        <w:rPr>
          <w:rFonts w:hint="eastAsia" w:hAnsiTheme="minorEastAsia" w:eastAsiaTheme="minorEastAsia"/>
          <w:bCs/>
          <w:color w:val="FF0000"/>
          <w:kern w:val="0"/>
        </w:rPr>
        <w:t>竞争性</w:t>
      </w:r>
      <w:r>
        <w:rPr>
          <w:rFonts w:hAnsiTheme="minorEastAsia" w:eastAsiaTheme="minorEastAsia"/>
          <w:bCs/>
          <w:color w:val="FF0000"/>
          <w:kern w:val="0"/>
        </w:rPr>
        <w:t>谈判</w:t>
      </w:r>
      <w:r>
        <w:rPr>
          <w:rFonts w:hint="eastAsia" w:hAnsiTheme="minorEastAsia" w:eastAsiaTheme="minorEastAsia"/>
          <w:bCs/>
          <w:color w:val="000000" w:themeColor="text1"/>
          <w:kern w:val="0"/>
          <w14:textFill>
            <w14:solidFill>
              <w14:schemeClr w14:val="tx1"/>
            </w14:solidFill>
          </w14:textFill>
        </w:rPr>
        <w:t>响应文件编制须知”第四条</w:t>
      </w:r>
      <w:r>
        <w:rPr>
          <w:rFonts w:hAnsiTheme="minorEastAsia" w:eastAsiaTheme="minorEastAsia"/>
          <w:bCs/>
          <w:color w:val="000000" w:themeColor="text1"/>
          <w:kern w:val="0"/>
          <w14:textFill>
            <w14:solidFill>
              <w14:schemeClr w14:val="tx1"/>
            </w14:solidFill>
          </w14:textFill>
        </w:rPr>
        <w:t>）</w:t>
      </w:r>
    </w:p>
    <w:p>
      <w:pPr>
        <w:adjustRightInd w:val="0"/>
        <w:snapToGrid w:val="0"/>
        <w:spacing w:line="420" w:lineRule="exact"/>
        <w:ind w:firstLine="482" w:firstLineChars="200"/>
        <w:jc w:val="left"/>
        <w:rPr>
          <w:rFonts w:eastAsiaTheme="minorEastAsia"/>
          <w:b/>
          <w:color w:val="000000" w:themeColor="text1"/>
          <w14:textFill>
            <w14:solidFill>
              <w14:schemeClr w14:val="tx1"/>
            </w14:solidFill>
          </w14:textFill>
        </w:rPr>
      </w:pPr>
      <w:r>
        <w:rPr>
          <w:rFonts w:hAnsiTheme="minorEastAsia" w:eastAsiaTheme="minorEastAsia"/>
          <w:b/>
          <w:color w:val="000000" w:themeColor="text1"/>
          <w14:textFill>
            <w14:solidFill>
              <w14:schemeClr w14:val="tx1"/>
            </w14:solidFill>
          </w14:textFill>
        </w:rPr>
        <w:t>18.  项目管理机构及职责</w:t>
      </w:r>
      <w:r>
        <w:rPr>
          <w:rFonts w:hint="eastAsia" w:hAnsiTheme="minorEastAsia" w:eastAsiaTheme="minorEastAsia"/>
          <w:b/>
          <w:color w:val="0000FF"/>
        </w:rPr>
        <w:t>（须由响应人编写）</w:t>
      </w:r>
    </w:p>
    <w:p>
      <w:pPr>
        <w:spacing w:line="420" w:lineRule="exact"/>
        <w:ind w:firstLine="482" w:firstLineChars="200"/>
        <w:rPr>
          <w:rFonts w:hAnsiTheme="minorEastAsia" w:eastAsiaTheme="minorEastAsia"/>
          <w:b/>
          <w:color w:val="FF0000"/>
        </w:rPr>
      </w:pPr>
      <w:r>
        <w:rPr>
          <w:rFonts w:hint="eastAsia" w:hAnsiTheme="minorEastAsia" w:eastAsiaTheme="minorEastAsia"/>
          <w:b/>
        </w:rPr>
        <w:t>1</w:t>
      </w:r>
      <w:r>
        <w:rPr>
          <w:rFonts w:hAnsiTheme="minorEastAsia" w:eastAsiaTheme="minorEastAsia"/>
          <w:b/>
        </w:rPr>
        <w:t>9</w:t>
      </w:r>
      <w:r>
        <w:rPr>
          <w:rFonts w:hint="eastAsia" w:hAnsiTheme="minorEastAsia" w:eastAsiaTheme="minorEastAsia"/>
          <w:b/>
        </w:rPr>
        <w:t>.</w:t>
      </w:r>
      <w:r>
        <w:rPr>
          <w:rFonts w:hAnsiTheme="minorEastAsia" w:eastAsiaTheme="minorEastAsia"/>
          <w:b/>
        </w:rPr>
        <w:t xml:space="preserve">  </w:t>
      </w:r>
      <w:r>
        <w:rPr>
          <w:rFonts w:hint="eastAsia" w:hAnsiTheme="minorEastAsia" w:eastAsiaTheme="minorEastAsia"/>
          <w:b/>
        </w:rPr>
        <w:t>企业近三年</w:t>
      </w:r>
      <w:r>
        <w:rPr>
          <w:rFonts w:hAnsiTheme="minorEastAsia" w:eastAsiaTheme="minorEastAsia"/>
          <w:b/>
        </w:rPr>
        <w:t>相关</w:t>
      </w:r>
      <w:r>
        <w:rPr>
          <w:rFonts w:hint="eastAsia" w:hAnsiTheme="minorEastAsia" w:eastAsiaTheme="minorEastAsia"/>
          <w:b/>
        </w:rPr>
        <w:t>业务（</w:t>
      </w:r>
      <w:r>
        <w:rPr>
          <w:rFonts w:hAnsiTheme="minorEastAsia" w:eastAsiaTheme="minorEastAsia"/>
          <w:b/>
        </w:rPr>
        <w:t>项目）业绩</w:t>
      </w:r>
      <w:r>
        <w:rPr>
          <w:rFonts w:hint="eastAsia" w:hAnsiTheme="minorEastAsia" w:eastAsiaTheme="minorEastAsia"/>
          <w:b/>
        </w:rPr>
        <w:t>证明</w:t>
      </w:r>
      <w:r>
        <w:rPr>
          <w:rFonts w:hint="eastAsia" w:hAnsiTheme="minorEastAsia" w:eastAsiaTheme="minorEastAsia"/>
          <w:b/>
          <w:color w:val="FF0000"/>
        </w:rPr>
        <w:t>（以</w:t>
      </w:r>
      <w:r>
        <w:rPr>
          <w:rFonts w:hAnsiTheme="minorEastAsia" w:eastAsiaTheme="minorEastAsia"/>
          <w:b/>
          <w:color w:val="FF0000"/>
        </w:rPr>
        <w:t>合同签订生效</w:t>
      </w:r>
      <w:r>
        <w:rPr>
          <w:rFonts w:hint="eastAsia" w:hAnsiTheme="minorEastAsia" w:eastAsiaTheme="minorEastAsia"/>
          <w:b/>
          <w:color w:val="FF0000"/>
        </w:rPr>
        <w:t>日期</w:t>
      </w:r>
      <w:r>
        <w:rPr>
          <w:rFonts w:hAnsiTheme="minorEastAsia" w:eastAsiaTheme="minorEastAsia"/>
          <w:b/>
          <w:color w:val="FF0000"/>
        </w:rPr>
        <w:t>为准）</w:t>
      </w:r>
    </w:p>
    <w:p>
      <w:pPr>
        <w:spacing w:line="420" w:lineRule="exact"/>
        <w:ind w:firstLine="482" w:firstLineChars="200"/>
        <w:rPr>
          <w:rFonts w:hAnsiTheme="minorEastAsia" w:eastAsiaTheme="minorEastAsia"/>
          <w:b/>
          <w:color w:val="FF0000"/>
        </w:rPr>
      </w:pPr>
      <w:r>
        <w:rPr>
          <w:rFonts w:hAnsiTheme="minorEastAsia" w:eastAsiaTheme="minorEastAsia"/>
          <w:b/>
          <w:color w:val="000000" w:themeColor="text1"/>
          <w14:textFill>
            <w14:solidFill>
              <w14:schemeClr w14:val="tx1"/>
            </w14:solidFill>
          </w14:textFill>
        </w:rPr>
        <w:t>20</w:t>
      </w:r>
      <w:r>
        <w:rPr>
          <w:rFonts w:hint="eastAsia" w:hAnsiTheme="minorEastAsia" w:eastAsiaTheme="minorEastAsia"/>
          <w:b/>
          <w:color w:val="000000" w:themeColor="text1"/>
          <w14:textFill>
            <w14:solidFill>
              <w14:schemeClr w14:val="tx1"/>
            </w14:solidFill>
          </w14:textFill>
        </w:rPr>
        <w:t>.</w:t>
      </w:r>
      <w:r>
        <w:rPr>
          <w:rFonts w:hAnsiTheme="minorEastAsia" w:eastAsiaTheme="minorEastAsia"/>
          <w:b/>
          <w:color w:val="000000" w:themeColor="text1"/>
          <w14:textFill>
            <w14:solidFill>
              <w14:schemeClr w14:val="tx1"/>
            </w14:solidFill>
          </w14:textFill>
        </w:rPr>
        <w:t xml:space="preserve">  </w:t>
      </w:r>
      <w:r>
        <w:rPr>
          <w:rFonts w:hint="eastAsia" w:hAnsiTheme="minorEastAsia" w:eastAsiaTheme="minorEastAsia"/>
          <w:b/>
          <w:color w:val="000000" w:themeColor="text1"/>
          <w14:textFill>
            <w14:solidFill>
              <w14:schemeClr w14:val="tx1"/>
            </w14:solidFill>
          </w14:textFill>
        </w:rPr>
        <w:t>项目经理近三年相关工程业绩（以合同签订生效日期为准）。</w:t>
      </w:r>
    </w:p>
    <w:p>
      <w:pPr>
        <w:spacing w:line="420" w:lineRule="exact"/>
        <w:ind w:firstLine="482" w:firstLineChars="200"/>
        <w:rPr>
          <w:rFonts w:hAnsiTheme="minorEastAsia"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2</w:t>
      </w:r>
      <w:r>
        <w:rPr>
          <w:rFonts w:hAnsiTheme="minorEastAsia" w:eastAsiaTheme="minorEastAsia"/>
          <w:b/>
          <w:color w:val="000000" w:themeColor="text1"/>
          <w14:textFill>
            <w14:solidFill>
              <w14:schemeClr w14:val="tx1"/>
            </w14:solidFill>
          </w14:textFill>
        </w:rPr>
        <w:t>1</w:t>
      </w:r>
      <w:r>
        <w:rPr>
          <w:rFonts w:hint="eastAsia" w:hAnsiTheme="minorEastAsia" w:eastAsiaTheme="minorEastAsia"/>
          <w:b/>
          <w:color w:val="000000" w:themeColor="text1"/>
          <w14:textFill>
            <w14:solidFill>
              <w14:schemeClr w14:val="tx1"/>
            </w14:solidFill>
          </w14:textFill>
        </w:rPr>
        <w:t>.</w:t>
      </w:r>
      <w:r>
        <w:rPr>
          <w:rFonts w:hAnsiTheme="minorEastAsia" w:eastAsiaTheme="minorEastAsia"/>
          <w:b/>
          <w:color w:val="000000" w:themeColor="text1"/>
          <w14:textFill>
            <w14:solidFill>
              <w14:schemeClr w14:val="tx1"/>
            </w14:solidFill>
          </w14:textFill>
        </w:rPr>
        <w:t xml:space="preserve">  项目经理、安全负责人、</w:t>
      </w:r>
      <w:r>
        <w:rPr>
          <w:rFonts w:hint="eastAsia" w:hAnsiTheme="minorEastAsia" w:eastAsiaTheme="minorEastAsia"/>
          <w:b/>
          <w:color w:val="000000" w:themeColor="text1"/>
          <w14:textFill>
            <w14:solidFill>
              <w14:schemeClr w14:val="tx1"/>
            </w14:solidFill>
          </w14:textFill>
        </w:rPr>
        <w:t>技术负责人</w:t>
      </w:r>
      <w:r>
        <w:rPr>
          <w:rFonts w:hint="eastAsia" w:hAnsiTheme="minorEastAsia" w:eastAsiaTheme="minorEastAsia"/>
          <w:b/>
          <w:color w:val="000000" w:themeColor="text1"/>
          <w:lang w:eastAsia="zh-CN"/>
          <w14:textFill>
            <w14:solidFill>
              <w14:schemeClr w14:val="tx1"/>
            </w14:solidFill>
          </w14:textFill>
        </w:rPr>
        <w:t>、质量负责人、施工负责人</w:t>
      </w:r>
      <w:r>
        <w:rPr>
          <w:rFonts w:hint="eastAsia" w:hAnsiTheme="minorEastAsia" w:eastAsiaTheme="minorEastAsia"/>
          <w:b/>
          <w:color w:val="000000" w:themeColor="text1"/>
          <w14:textFill>
            <w14:solidFill>
              <w14:schemeClr w14:val="tx1"/>
            </w14:solidFill>
          </w14:textFill>
        </w:rPr>
        <w:t>的</w:t>
      </w:r>
      <w:r>
        <w:rPr>
          <w:rFonts w:hAnsiTheme="minorEastAsia" w:eastAsiaTheme="minorEastAsia"/>
          <w:b/>
          <w:color w:val="000000" w:themeColor="text1"/>
          <w14:textFill>
            <w14:solidFill>
              <w14:schemeClr w14:val="tx1"/>
            </w14:solidFill>
          </w14:textFill>
        </w:rPr>
        <w:t>社保缴费证明、身份证</w:t>
      </w:r>
      <w:r>
        <w:rPr>
          <w:rFonts w:hint="eastAsia" w:hAnsiTheme="minorEastAsia" w:eastAsiaTheme="minorEastAsia"/>
          <w:b/>
          <w:color w:val="0000FF"/>
        </w:rPr>
        <w:t>（须由响应人提供）</w:t>
      </w:r>
    </w:p>
    <w:p>
      <w:pPr>
        <w:widowControl/>
        <w:adjustRightInd w:val="0"/>
        <w:snapToGrid w:val="0"/>
        <w:spacing w:line="420" w:lineRule="exact"/>
        <w:ind w:firstLine="482" w:firstLineChars="200"/>
        <w:jc w:val="left"/>
        <w:rPr>
          <w:rFonts w:hAnsiTheme="minorEastAsia" w:eastAsiaTheme="minorEastAsia"/>
          <w:b/>
          <w:color w:val="000000" w:themeColor="text1"/>
          <w14:textFill>
            <w14:solidFill>
              <w14:schemeClr w14:val="tx1"/>
            </w14:solidFill>
          </w14:textFill>
        </w:rPr>
      </w:pPr>
      <w:r>
        <w:rPr>
          <w:rFonts w:hint="eastAsia" w:hAnsiTheme="minorEastAsia" w:eastAsiaTheme="minorEastAsia"/>
          <w:b/>
          <w:color w:val="000000" w:themeColor="text1"/>
          <w14:textFill>
            <w14:solidFill>
              <w14:schemeClr w14:val="tx1"/>
            </w14:solidFill>
          </w14:textFill>
        </w:rPr>
        <w:t>2</w:t>
      </w:r>
      <w:r>
        <w:rPr>
          <w:rFonts w:hAnsiTheme="minorEastAsia" w:eastAsiaTheme="minorEastAsia"/>
          <w:b/>
          <w:color w:val="000000" w:themeColor="text1"/>
          <w14:textFill>
            <w14:solidFill>
              <w14:schemeClr w14:val="tx1"/>
            </w14:solidFill>
          </w14:textFill>
        </w:rPr>
        <w:t>2</w:t>
      </w:r>
      <w:r>
        <w:rPr>
          <w:rFonts w:hint="eastAsia" w:hAnsiTheme="minorEastAsia" w:eastAsiaTheme="minorEastAsia"/>
          <w:b/>
          <w:color w:val="000000" w:themeColor="text1"/>
          <w14:textFill>
            <w14:solidFill>
              <w14:schemeClr w14:val="tx1"/>
            </w14:solidFill>
          </w14:textFill>
        </w:rPr>
        <w:t>.</w:t>
      </w:r>
      <w:r>
        <w:rPr>
          <w:rFonts w:hAnsiTheme="minorEastAsia" w:eastAsiaTheme="minorEastAsia"/>
          <w:b/>
          <w:color w:val="000000" w:themeColor="text1"/>
          <w14:textFill>
            <w14:solidFill>
              <w14:schemeClr w14:val="tx1"/>
            </w14:solidFill>
          </w14:textFill>
        </w:rPr>
        <w:t xml:space="preserve">  项目经理、安全负责人的安全生产考核合格证书</w:t>
      </w:r>
    </w:p>
    <w:p>
      <w:pPr>
        <w:widowControl/>
        <w:adjustRightInd w:val="0"/>
        <w:snapToGrid w:val="0"/>
        <w:spacing w:line="420" w:lineRule="exact"/>
        <w:ind w:firstLine="482" w:firstLineChars="200"/>
        <w:jc w:val="left"/>
        <w:rPr>
          <w:rFonts w:ascii="宋体" w:hAnsi="宋体"/>
          <w:b/>
          <w:highlight w:val="yellow"/>
        </w:rPr>
      </w:pPr>
    </w:p>
    <w:p>
      <w:pPr>
        <w:widowControl/>
        <w:spacing w:line="240" w:lineRule="auto"/>
        <w:jc w:val="left"/>
        <w:rPr>
          <w:rFonts w:ascii="宋体" w:hAnsi="宋体"/>
          <w:b/>
          <w:color w:val="FF0000"/>
        </w:rPr>
      </w:pPr>
      <w:r>
        <w:rPr>
          <w:rFonts w:ascii="宋体" w:hAnsi="宋体"/>
          <w:b/>
          <w:color w:val="FF0000"/>
        </w:rPr>
        <w:br w:type="page"/>
      </w:r>
    </w:p>
    <w:p>
      <w:pPr>
        <w:widowControl/>
        <w:adjustRightInd w:val="0"/>
        <w:snapToGrid w:val="0"/>
        <w:spacing w:line="420" w:lineRule="exact"/>
        <w:ind w:firstLine="482" w:firstLineChars="200"/>
        <w:jc w:val="left"/>
        <w:rPr>
          <w:rFonts w:eastAsiaTheme="minorEastAsia"/>
          <w:b/>
          <w:color w:val="000000" w:themeColor="text1"/>
          <w14:textFill>
            <w14:solidFill>
              <w14:schemeClr w14:val="tx1"/>
            </w14:solidFill>
          </w14:textFill>
        </w:rPr>
      </w:pPr>
    </w:p>
    <w:p>
      <w:pPr>
        <w:rPr>
          <w:b/>
        </w:rPr>
      </w:pPr>
      <w:r>
        <w:rPr>
          <w:b/>
        </w:rPr>
        <w:t>附件1</w:t>
      </w:r>
      <w:r>
        <w:rPr>
          <w:rFonts w:hint="eastAsia"/>
          <w:b/>
        </w:rPr>
        <w:t>（</w:t>
      </w:r>
      <w:r>
        <w:rPr>
          <w:rFonts w:hint="eastAsia" w:ascii="宋体" w:hAnsi="宋体"/>
          <w:b/>
        </w:rPr>
        <w:t>商务响应文件内封面格式</w:t>
      </w:r>
      <w:r>
        <w:rPr>
          <w:b/>
        </w:rPr>
        <w:t>）：</w:t>
      </w:r>
    </w:p>
    <w:p>
      <w:pPr>
        <w:rPr>
          <w:rFonts w:ascii="宋体" w:hAnsi="宋体"/>
          <w:b/>
          <w:color w:val="000000"/>
        </w:rPr>
      </w:pPr>
    </w:p>
    <w:p>
      <w:pPr>
        <w:spacing w:line="240" w:lineRule="auto"/>
        <w:jc w:val="center"/>
        <w:rPr>
          <w:rFonts w:ascii="楷体_GB2312" w:eastAsia="楷体_GB2312"/>
          <w:b/>
          <w:color w:val="000000"/>
          <w:sz w:val="44"/>
          <w:szCs w:val="44"/>
        </w:rPr>
      </w:pPr>
      <w:bookmarkStart w:id="12" w:name="_Toc427745101"/>
      <w:bookmarkStart w:id="13" w:name="_Toc427596812"/>
      <w:permStart w:id="30" w:edGrp="everyone"/>
      <w:r>
        <w:rPr>
          <w:rFonts w:hint="eastAsia" w:ascii="黑体" w:hAnsi="黑体" w:eastAsia="黑体"/>
          <w:b/>
          <w:spacing w:val="-20"/>
          <w:sz w:val="32"/>
          <w:szCs w:val="32"/>
        </w:rPr>
        <w:t>“*</w:t>
      </w:r>
      <w:r>
        <w:rPr>
          <w:rFonts w:ascii="黑体" w:hAnsi="黑体" w:eastAsia="黑体"/>
          <w:b/>
          <w:spacing w:val="-20"/>
          <w:sz w:val="32"/>
          <w:szCs w:val="32"/>
        </w:rPr>
        <w:t>****************</w:t>
      </w:r>
      <w:r>
        <w:rPr>
          <w:rFonts w:hint="eastAsia" w:ascii="黑体" w:hAnsi="黑体" w:eastAsia="黑体"/>
          <w:b/>
          <w:spacing w:val="-20"/>
          <w:sz w:val="32"/>
          <w:szCs w:val="32"/>
        </w:rPr>
        <w:t>”业务（</w:t>
      </w:r>
      <w:r>
        <w:rPr>
          <w:rFonts w:ascii="黑体" w:hAnsi="黑体" w:eastAsia="黑体"/>
          <w:b/>
          <w:spacing w:val="-20"/>
          <w:sz w:val="32"/>
          <w:szCs w:val="32"/>
        </w:rPr>
        <w:t>项目）</w:t>
      </w:r>
      <w:r>
        <w:rPr>
          <w:rFonts w:hint="eastAsia" w:ascii="黑体" w:hAnsi="黑体" w:eastAsia="黑体"/>
          <w:b/>
          <w:spacing w:val="-20"/>
          <w:sz w:val="32"/>
          <w:szCs w:val="32"/>
        </w:rPr>
        <w:t>竞争</w:t>
      </w:r>
      <w:r>
        <w:rPr>
          <w:rFonts w:ascii="黑体" w:hAnsi="黑体" w:eastAsia="黑体"/>
          <w:b/>
          <w:spacing w:val="-20"/>
          <w:sz w:val="32"/>
          <w:szCs w:val="32"/>
        </w:rPr>
        <w:t>性选商</w:t>
      </w:r>
    </w:p>
    <w:permEnd w:id="30"/>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r>
        <w:rPr>
          <w:rFonts w:ascii="楷体_GB2312" w:eastAsia="楷体_GB2312"/>
          <w:b/>
          <w:color w:val="000000"/>
          <w:sz w:val="44"/>
          <w:szCs w:val="44"/>
        </w:rPr>
        <w:t>商务</w:t>
      </w:r>
    </w:p>
    <w:p>
      <w:pPr>
        <w:spacing w:line="240" w:lineRule="auto"/>
        <w:jc w:val="center"/>
        <w:rPr>
          <w:b/>
          <w:color w:val="000000" w:themeColor="text1"/>
          <w:sz w:val="72"/>
          <w:szCs w:val="72"/>
          <w14:textFill>
            <w14:solidFill>
              <w14:schemeClr w14:val="tx1"/>
            </w14:solidFill>
          </w14:textFill>
        </w:rPr>
      </w:pPr>
      <w:r>
        <w:rPr>
          <w:rFonts w:hint="eastAsia" w:ascii="楷体_GB2312" w:eastAsia="楷体_GB2312"/>
          <w:b/>
          <w:color w:val="000000"/>
          <w:sz w:val="84"/>
          <w:szCs w:val="84"/>
        </w:rPr>
        <w:t>响应</w:t>
      </w:r>
      <w:r>
        <w:rPr>
          <w:rFonts w:ascii="楷体_GB2312" w:eastAsia="楷体_GB2312"/>
          <w:b/>
          <w:color w:val="000000"/>
          <w:sz w:val="84"/>
          <w:szCs w:val="84"/>
        </w:rPr>
        <w:t>文件</w:t>
      </w: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after="480" w:afterLines="200" w:line="240" w:lineRule="auto"/>
        <w:jc w:val="center"/>
        <w:rPr>
          <w:b/>
          <w:color w:val="000000" w:themeColor="text1"/>
          <w:sz w:val="32"/>
          <w:szCs w:val="32"/>
          <w14:textFill>
            <w14:solidFill>
              <w14:schemeClr w14:val="tx1"/>
            </w14:solidFill>
          </w14:textFill>
        </w:rPr>
      </w:pPr>
    </w:p>
    <w:p>
      <w:pPr>
        <w:spacing w:before="240" w:beforeLines="100" w:after="240" w:afterLines="100"/>
        <w:rPr>
          <w:b/>
          <w:sz w:val="32"/>
          <w:szCs w:val="32"/>
        </w:rPr>
      </w:pPr>
      <w:r>
        <w:rPr>
          <w:rFonts w:hint="eastAsia"/>
          <w:b/>
          <w:sz w:val="32"/>
          <w:szCs w:val="32"/>
        </w:rPr>
        <w:t>响应人（</w:t>
      </w:r>
      <w:r>
        <w:rPr>
          <w:b/>
          <w:sz w:val="32"/>
          <w:szCs w:val="32"/>
        </w:rPr>
        <w:t>单位盖章）：</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响应人地址</w:t>
      </w:r>
      <w:r>
        <w:rPr>
          <w:b/>
          <w:sz w:val="32"/>
          <w:szCs w:val="32"/>
        </w:rPr>
        <w:t>：</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联系人：</w:t>
      </w:r>
    </w:p>
    <w:p>
      <w:pPr>
        <w:adjustRightInd w:val="0"/>
        <w:snapToGrid w:val="0"/>
        <w:jc w:val="left"/>
        <w:rPr>
          <w:b/>
          <w:sz w:val="32"/>
          <w:szCs w:val="32"/>
        </w:rPr>
      </w:pPr>
    </w:p>
    <w:p>
      <w:pPr>
        <w:adjustRightInd w:val="0"/>
        <w:snapToGrid w:val="0"/>
        <w:jc w:val="left"/>
        <w:rPr>
          <w:b/>
          <w:sz w:val="32"/>
          <w:szCs w:val="32"/>
        </w:rPr>
      </w:pPr>
      <w:r>
        <w:rPr>
          <w:rFonts w:hint="eastAsia"/>
          <w:b/>
          <w:sz w:val="32"/>
          <w:szCs w:val="32"/>
        </w:rPr>
        <w:t>联系电话</w:t>
      </w:r>
      <w:r>
        <w:rPr>
          <w:b/>
          <w:sz w:val="32"/>
          <w:szCs w:val="32"/>
        </w:rPr>
        <w:t>：</w:t>
      </w:r>
    </w:p>
    <w:p>
      <w:pPr>
        <w:adjustRightInd w:val="0"/>
        <w:snapToGrid w:val="0"/>
        <w:jc w:val="right"/>
        <w:rPr>
          <w:b/>
          <w:sz w:val="32"/>
          <w:szCs w:val="32"/>
        </w:rPr>
      </w:pPr>
    </w:p>
    <w:p>
      <w:pPr>
        <w:adjustRightInd w:val="0"/>
        <w:snapToGrid w:val="0"/>
        <w:ind w:firstLine="5140" w:firstLineChars="1600"/>
        <w:jc w:val="left"/>
        <w:rPr>
          <w:b/>
          <w:sz w:val="32"/>
          <w:szCs w:val="32"/>
        </w:rPr>
      </w:pPr>
    </w:p>
    <w:p>
      <w:pPr>
        <w:adjustRightInd w:val="0"/>
        <w:snapToGrid w:val="0"/>
        <w:ind w:firstLine="5140" w:firstLineChars="1600"/>
        <w:jc w:val="left"/>
        <w:rPr>
          <w:b/>
          <w:sz w:val="32"/>
          <w:szCs w:val="32"/>
        </w:rPr>
      </w:pPr>
      <w:r>
        <w:rPr>
          <w:rFonts w:hint="eastAsia"/>
          <w:b/>
          <w:sz w:val="32"/>
          <w:szCs w:val="32"/>
        </w:rPr>
        <w:t>日期</w:t>
      </w:r>
      <w:r>
        <w:rPr>
          <w:b/>
          <w:sz w:val="32"/>
          <w:szCs w:val="32"/>
        </w:rPr>
        <w:t>：20  年</w:t>
      </w:r>
      <w:r>
        <w:rPr>
          <w:rFonts w:hint="eastAsia"/>
          <w:b/>
          <w:sz w:val="32"/>
          <w:szCs w:val="32"/>
        </w:rPr>
        <w:t xml:space="preserve">  </w:t>
      </w:r>
      <w:r>
        <w:rPr>
          <w:b/>
          <w:sz w:val="32"/>
          <w:szCs w:val="32"/>
        </w:rPr>
        <w:t>月</w:t>
      </w:r>
      <w:r>
        <w:rPr>
          <w:rFonts w:hint="eastAsia"/>
          <w:b/>
          <w:sz w:val="32"/>
          <w:szCs w:val="32"/>
        </w:rPr>
        <w:t xml:space="preserve">  </w:t>
      </w:r>
      <w:r>
        <w:rPr>
          <w:b/>
          <w:sz w:val="32"/>
          <w:szCs w:val="32"/>
        </w:rPr>
        <w:t>日</w:t>
      </w:r>
    </w:p>
    <w:p>
      <w:pPr>
        <w:widowControl/>
        <w:spacing w:line="240" w:lineRule="auto"/>
        <w:jc w:val="left"/>
        <w:rPr>
          <w:bCs/>
          <w:sz w:val="48"/>
          <w:szCs w:val="48"/>
        </w:rPr>
      </w:pPr>
      <w:r>
        <w:rPr>
          <w:b/>
          <w:sz w:val="32"/>
          <w:szCs w:val="32"/>
        </w:rPr>
        <w:br w:type="page"/>
      </w:r>
      <w:bookmarkEnd w:id="12"/>
      <w:bookmarkEnd w:id="13"/>
      <w:r>
        <w:rPr>
          <w:b/>
        </w:rPr>
        <w:t>附件2</w:t>
      </w:r>
    </w:p>
    <w:p>
      <w:pPr>
        <w:spacing w:before="120" w:beforeLines="50" w:after="360" w:afterLines="150"/>
        <w:jc w:val="center"/>
        <w:rPr>
          <w:b/>
          <w:bCs/>
          <w:snapToGrid w:val="0"/>
          <w:kern w:val="0"/>
          <w:sz w:val="44"/>
          <w:szCs w:val="44"/>
        </w:rPr>
      </w:pPr>
      <w:r>
        <w:rPr>
          <w:rFonts w:hint="eastAsia"/>
          <w:b/>
          <w:bCs/>
          <w:snapToGrid w:val="0"/>
          <w:kern w:val="0"/>
          <w:sz w:val="44"/>
          <w:szCs w:val="44"/>
        </w:rPr>
        <w:t>响应函</w:t>
      </w:r>
    </w:p>
    <w:p>
      <w:pPr>
        <w:snapToGrid w:val="0"/>
        <w:jc w:val="left"/>
        <w:rPr>
          <w:b/>
          <w:color w:val="000000" w:themeColor="text1"/>
          <w:u w:val="single"/>
          <w14:textFill>
            <w14:solidFill>
              <w14:schemeClr w14:val="tx1"/>
            </w14:solidFill>
          </w14:textFill>
        </w:rPr>
      </w:pPr>
      <w:r>
        <w:rPr>
          <w:b/>
          <w:color w:val="000000" w:themeColor="text1"/>
          <w14:textFill>
            <w14:solidFill>
              <w14:schemeClr w14:val="tx1"/>
            </w14:solidFill>
          </w14:textFill>
        </w:rPr>
        <w:t>致：中国石化上海高桥石油化工有限公司：</w:t>
      </w:r>
    </w:p>
    <w:p>
      <w:pPr>
        <w:pStyle w:val="8"/>
        <w:numPr>
          <w:ilvl w:val="0"/>
          <w:numId w:val="1"/>
        </w:numPr>
        <w:snapToGrid w:val="0"/>
        <w:rPr>
          <w:sz w:val="24"/>
          <w:szCs w:val="24"/>
          <w:u w:val="single"/>
        </w:rPr>
      </w:pPr>
      <w:r>
        <w:rPr>
          <w:sz w:val="24"/>
          <w:szCs w:val="24"/>
        </w:rPr>
        <w:t>在充分研究了</w:t>
      </w:r>
      <w:r>
        <w:rPr>
          <w:rFonts w:hint="eastAsia"/>
          <w:sz w:val="24"/>
          <w:szCs w:val="24"/>
        </w:rPr>
        <w:t>贵</w:t>
      </w:r>
      <w:r>
        <w:rPr>
          <w:sz w:val="24"/>
          <w:szCs w:val="24"/>
        </w:rPr>
        <w:t>司</w:t>
      </w:r>
      <w:r>
        <w:rPr>
          <w:rFonts w:hint="eastAsia"/>
          <w:sz w:val="24"/>
          <w:szCs w:val="24"/>
        </w:rPr>
        <w:t>“</w:t>
      </w:r>
      <w:r>
        <w:rPr>
          <w:sz w:val="24"/>
          <w:szCs w:val="24"/>
        </w:rPr>
        <w:t>***</w:t>
      </w:r>
      <w:r>
        <w:rPr>
          <w:rFonts w:hint="eastAsia"/>
          <w:sz w:val="24"/>
          <w:szCs w:val="24"/>
        </w:rPr>
        <w:t>******”业务</w:t>
      </w:r>
      <w:r>
        <w:rPr>
          <w:sz w:val="24"/>
          <w:szCs w:val="24"/>
        </w:rPr>
        <w:t>（项目）</w:t>
      </w:r>
      <w:r>
        <w:rPr>
          <w:rFonts w:hint="eastAsia"/>
          <w:sz w:val="24"/>
          <w:szCs w:val="24"/>
        </w:rPr>
        <w:t>竞争性</w:t>
      </w:r>
      <w:r>
        <w:rPr>
          <w:sz w:val="24"/>
          <w:szCs w:val="24"/>
        </w:rPr>
        <w:t>选商文件的全部内容后，我方将按</w:t>
      </w:r>
      <w:r>
        <w:rPr>
          <w:rFonts w:hint="eastAsia"/>
          <w:sz w:val="24"/>
          <w:szCs w:val="24"/>
        </w:rPr>
        <w:t>竞争性</w:t>
      </w:r>
      <w:r>
        <w:rPr>
          <w:sz w:val="24"/>
          <w:szCs w:val="24"/>
        </w:rPr>
        <w:t>选商文件的</w:t>
      </w:r>
      <w:r>
        <w:rPr>
          <w:rFonts w:hint="eastAsia"/>
          <w:sz w:val="24"/>
          <w:szCs w:val="24"/>
        </w:rPr>
        <w:t>确定的业务（项目）范围以及</w:t>
      </w:r>
      <w:r>
        <w:rPr>
          <w:sz w:val="24"/>
          <w:szCs w:val="24"/>
        </w:rPr>
        <w:t>各项要求进行</w:t>
      </w:r>
      <w:r>
        <w:rPr>
          <w:rFonts w:hint="eastAsia"/>
          <w:sz w:val="24"/>
          <w:szCs w:val="24"/>
        </w:rPr>
        <w:t>全面响应</w:t>
      </w:r>
      <w:r>
        <w:rPr>
          <w:sz w:val="24"/>
          <w:szCs w:val="24"/>
        </w:rPr>
        <w:t>。</w:t>
      </w:r>
    </w:p>
    <w:p>
      <w:pPr>
        <w:pStyle w:val="26"/>
        <w:numPr>
          <w:ilvl w:val="0"/>
          <w:numId w:val="1"/>
        </w:numPr>
        <w:ind w:firstLineChars="0"/>
        <w:rPr>
          <w:color w:val="000000" w:themeColor="text1"/>
          <w:kern w:val="0"/>
          <w14:textFill>
            <w14:solidFill>
              <w14:schemeClr w14:val="tx1"/>
            </w14:solidFill>
          </w14:textFill>
        </w:rPr>
      </w:pPr>
      <w:r>
        <w:rPr>
          <w:rFonts w:hint="eastAsia"/>
          <w:kern w:val="0"/>
        </w:rPr>
        <w:t>我方的</w:t>
      </w:r>
      <w:r>
        <w:rPr>
          <w:kern w:val="0"/>
        </w:rPr>
        <w:t>响应</w:t>
      </w:r>
      <w:r>
        <w:rPr>
          <w:rFonts w:hint="eastAsia"/>
          <w:kern w:val="0"/>
        </w:rPr>
        <w:t>文件与</w:t>
      </w:r>
      <w:r>
        <w:rPr>
          <w:rFonts w:hint="eastAsia"/>
        </w:rPr>
        <w:t>贵</w:t>
      </w:r>
      <w:r>
        <w:t>司</w:t>
      </w:r>
      <w:r>
        <w:rPr>
          <w:rFonts w:hint="eastAsia"/>
        </w:rPr>
        <w:t>“</w:t>
      </w:r>
      <w:r>
        <w:t>***</w:t>
      </w:r>
      <w:r>
        <w:rPr>
          <w:rFonts w:hint="eastAsia"/>
        </w:rPr>
        <w:t>******”业务</w:t>
      </w:r>
      <w:r>
        <w:t>（项目）</w:t>
      </w:r>
      <w:r>
        <w:rPr>
          <w:rFonts w:hint="eastAsia"/>
        </w:rPr>
        <w:t>竞争性</w:t>
      </w:r>
      <w:r>
        <w:t>选商文件</w:t>
      </w:r>
      <w:r>
        <w:rPr>
          <w:rFonts w:hint="eastAsia"/>
        </w:rPr>
        <w:t>的</w:t>
      </w:r>
      <w:r>
        <w:t>各项</w:t>
      </w:r>
      <w:r>
        <w:rPr>
          <w:rFonts w:hint="eastAsia"/>
        </w:rPr>
        <w:t>内容</w:t>
      </w:r>
      <w:r>
        <w:t>和要求</w:t>
      </w:r>
      <w:r>
        <w:rPr>
          <w:rFonts w:hint="eastAsia"/>
        </w:rPr>
        <w:t>（</w:t>
      </w:r>
      <w:r>
        <w:t>有</w:t>
      </w:r>
      <w:r>
        <w:rPr>
          <w:rFonts w:hint="eastAsia"/>
        </w:rPr>
        <w:t>或</w:t>
      </w:r>
      <w:r>
        <w:t>无）偏差</w:t>
      </w:r>
      <w:r>
        <w:rPr>
          <w:rFonts w:hint="eastAsia" w:ascii="宋体" w:hAnsi="宋体"/>
        </w:rPr>
        <w:t>【提示</w:t>
      </w:r>
      <w:r>
        <w:rPr>
          <w:rFonts w:ascii="宋体" w:hAnsi="宋体"/>
        </w:rPr>
        <w:t>：</w:t>
      </w:r>
      <w:r>
        <w:rPr>
          <w:rFonts w:hint="eastAsia"/>
        </w:rPr>
        <w:t>若有</w:t>
      </w:r>
      <w:r>
        <w:t>，请</w:t>
      </w:r>
      <w:r>
        <w:rPr>
          <w:rFonts w:hint="eastAsia"/>
        </w:rPr>
        <w:t>明示</w:t>
      </w:r>
      <w:r>
        <w:t>偏差项</w:t>
      </w:r>
      <w:r>
        <w:rPr>
          <w:rFonts w:hint="eastAsia" w:ascii="宋体" w:hAnsi="宋体"/>
        </w:rPr>
        <w:t>】</w:t>
      </w:r>
      <w:r>
        <w:rPr>
          <w:rFonts w:hint="eastAsia"/>
          <w:color w:val="000000" w:themeColor="text1"/>
          <w:kern w:val="0"/>
          <w14:textFill>
            <w14:solidFill>
              <w14:schemeClr w14:val="tx1"/>
            </w14:solidFill>
          </w14:textFill>
        </w:rPr>
        <w:t>。</w:t>
      </w:r>
    </w:p>
    <w:p>
      <w:pPr>
        <w:pStyle w:val="8"/>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我方的</w:t>
      </w:r>
      <w:r>
        <w:rPr>
          <w:rFonts w:hint="eastAsia" w:ascii="Times New Roman" w:hAnsi="Times New Roman"/>
          <w:color w:val="000000" w:themeColor="text1"/>
          <w:sz w:val="24"/>
          <w:szCs w:val="24"/>
          <w14:textFill>
            <w14:solidFill>
              <w14:schemeClr w14:val="tx1"/>
            </w14:solidFill>
          </w14:textFill>
        </w:rPr>
        <w:t>响应</w:t>
      </w:r>
      <w:r>
        <w:rPr>
          <w:rFonts w:ascii="Times New Roman" w:hAnsi="Times New Roman"/>
          <w:color w:val="000000" w:themeColor="text1"/>
          <w:sz w:val="24"/>
          <w:szCs w:val="24"/>
          <w14:textFill>
            <w14:solidFill>
              <w14:schemeClr w14:val="tx1"/>
            </w14:solidFill>
          </w14:textFill>
        </w:rPr>
        <w:t>报价，承诺的</w:t>
      </w:r>
      <w:r>
        <w:rPr>
          <w:rFonts w:hint="eastAsia" w:ascii="Times New Roman" w:hAnsi="Times New Roman"/>
          <w:color w:val="000000" w:themeColor="text1"/>
          <w:sz w:val="24"/>
          <w:szCs w:val="24"/>
          <w14:textFill>
            <w14:solidFill>
              <w14:schemeClr w14:val="tx1"/>
            </w14:solidFill>
          </w14:textFill>
        </w:rPr>
        <w:t>履行</w:t>
      </w:r>
      <w:r>
        <w:rPr>
          <w:rFonts w:ascii="Times New Roman" w:hAnsi="Times New Roman"/>
          <w:color w:val="000000" w:themeColor="text1"/>
          <w:sz w:val="24"/>
          <w:szCs w:val="24"/>
          <w14:textFill>
            <w14:solidFill>
              <w14:schemeClr w14:val="tx1"/>
            </w14:solidFill>
          </w14:textFill>
        </w:rPr>
        <w:t>期、</w:t>
      </w:r>
      <w:r>
        <w:rPr>
          <w:rFonts w:hint="eastAsia" w:ascii="Times New Roman" w:hAnsi="Times New Roman"/>
          <w:color w:val="000000" w:themeColor="text1"/>
          <w:sz w:val="24"/>
          <w:szCs w:val="24"/>
          <w14:textFill>
            <w14:solidFill>
              <w14:schemeClr w14:val="tx1"/>
            </w14:solidFill>
          </w14:textFill>
        </w:rPr>
        <w:t>技术</w:t>
      </w:r>
      <w:r>
        <w:rPr>
          <w:rFonts w:ascii="Times New Roman" w:hAnsi="Times New Roman"/>
          <w:color w:val="000000" w:themeColor="text1"/>
          <w:sz w:val="24"/>
          <w:szCs w:val="24"/>
          <w14:textFill>
            <w14:solidFill>
              <w14:schemeClr w14:val="tx1"/>
            </w14:solidFill>
          </w14:textFill>
        </w:rPr>
        <w:t>标准、质量标准</w:t>
      </w:r>
      <w:r>
        <w:rPr>
          <w:rFonts w:hint="eastAsia" w:ascii="Times New Roman" w:hAnsi="Times New Roman"/>
          <w:color w:val="000000" w:themeColor="text1"/>
          <w:sz w:val="24"/>
          <w:szCs w:val="24"/>
          <w14:textFill>
            <w14:solidFill>
              <w14:schemeClr w14:val="tx1"/>
            </w14:solidFill>
          </w14:textFill>
        </w:rPr>
        <w:t>等</w:t>
      </w:r>
      <w:r>
        <w:rPr>
          <w:rFonts w:ascii="Times New Roman" w:hAnsi="Times New Roman"/>
          <w:color w:val="000000" w:themeColor="text1"/>
          <w:sz w:val="24"/>
          <w:szCs w:val="24"/>
          <w14:textFill>
            <w14:solidFill>
              <w14:schemeClr w14:val="tx1"/>
            </w14:solidFill>
          </w14:textFill>
        </w:rPr>
        <w:t>，见</w:t>
      </w:r>
      <w:r>
        <w:rPr>
          <w:rFonts w:hint="eastAsia" w:ascii="Times New Roman" w:hAnsi="Times New Roman"/>
          <w:color w:val="000000" w:themeColor="text1"/>
          <w:sz w:val="24"/>
          <w:szCs w:val="24"/>
          <w14:textFill>
            <w14:solidFill>
              <w14:schemeClr w14:val="tx1"/>
            </w14:solidFill>
          </w14:textFill>
        </w:rPr>
        <w:t>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响应</w:t>
            </w:r>
            <w:r>
              <w:rPr>
                <w:rFonts w:ascii="Times New Roman" w:hAnsi="Times New Roman"/>
                <w:b/>
                <w:color w:val="000000" w:themeColor="text1"/>
                <w:sz w:val="24"/>
                <w:szCs w:val="24"/>
                <w14:textFill>
                  <w14:solidFill>
                    <w14:schemeClr w14:val="tx1"/>
                  </w14:solidFill>
                </w14:textFill>
              </w:rPr>
              <w:t>报价</w:t>
            </w:r>
            <w:r>
              <w:rPr>
                <w:rFonts w:hint="eastAsia" w:ascii="Times New Roman" w:hAnsi="Times New Roman"/>
                <w:b/>
                <w:color w:val="000000" w:themeColor="text1"/>
                <w:sz w:val="24"/>
                <w:szCs w:val="24"/>
                <w14:textFill>
                  <w14:solidFill>
                    <w14:schemeClr w14:val="tx1"/>
                  </w14:solidFill>
                </w14:textFill>
              </w:rPr>
              <w:t>（降点</w:t>
            </w:r>
            <w:r>
              <w:rPr>
                <w:rFonts w:ascii="Times New Roman" w:hAnsi="Times New Roman"/>
                <w:b/>
                <w:color w:val="000000" w:themeColor="text1"/>
                <w:sz w:val="24"/>
                <w:szCs w:val="24"/>
                <w14:textFill>
                  <w14:solidFill>
                    <w14:schemeClr w14:val="tx1"/>
                  </w14:solidFill>
                </w14:textFill>
              </w:rPr>
              <w:t>）</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税率</w:t>
            </w:r>
            <w:r>
              <w:rPr>
                <w:rFonts w:ascii="Times New Roman" w:hAnsi="Times New Roman"/>
                <w:b/>
                <w:color w:val="000000" w:themeColor="text1"/>
                <w:sz w:val="24"/>
                <w:szCs w:val="24"/>
                <w14:textFill>
                  <w14:solidFill>
                    <w14:schemeClr w14:val="tx1"/>
                  </w14:solidFill>
                </w14:textFill>
              </w:rPr>
              <w:t>（</w:t>
            </w:r>
            <w:r>
              <w:rPr>
                <w:rFonts w:hint="eastAsia" w:ascii="Times New Roman" w:hAnsi="Times New Roman"/>
                <w:b/>
                <w:color w:val="000000" w:themeColor="text1"/>
                <w:sz w:val="24"/>
                <w:szCs w:val="24"/>
                <w14:textFill>
                  <w14:solidFill>
                    <w14:schemeClr w14:val="tx1"/>
                  </w14:solidFill>
                </w14:textFill>
              </w:rPr>
              <w:t>%）</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履行</w:t>
            </w:r>
            <w:r>
              <w:rPr>
                <w:rFonts w:ascii="Times New Roman" w:hAnsi="Times New Roman"/>
                <w:b/>
                <w:color w:val="000000" w:themeColor="text1"/>
                <w:sz w:val="24"/>
                <w:szCs w:val="24"/>
                <w14:textFill>
                  <w14:solidFill>
                    <w14:schemeClr w14:val="tx1"/>
                  </w14:solidFill>
                </w14:textFill>
              </w:rPr>
              <w:t>期</w:t>
            </w:r>
            <w:r>
              <w:rPr>
                <w:rFonts w:hint="eastAsia" w:ascii="Times New Roman" w:hAnsi="Times New Roman"/>
                <w:b/>
                <w:color w:val="000000" w:themeColor="text1"/>
                <w:sz w:val="24"/>
                <w:szCs w:val="24"/>
                <w14:textFill>
                  <w14:solidFill>
                    <w14:schemeClr w14:val="tx1"/>
                  </w14:solidFill>
                </w14:textFill>
              </w:rPr>
              <w:t>（或履行</w:t>
            </w:r>
            <w:r>
              <w:rPr>
                <w:rFonts w:ascii="Times New Roman" w:hAnsi="Times New Roman"/>
                <w:b/>
                <w:color w:val="000000" w:themeColor="text1"/>
                <w:sz w:val="24"/>
                <w:szCs w:val="24"/>
                <w14:textFill>
                  <w14:solidFill>
                    <w14:schemeClr w14:val="tx1"/>
                  </w14:solidFill>
                </w14:textFill>
              </w:rPr>
              <w:t>所需天</w:t>
            </w:r>
            <w:r>
              <w:rPr>
                <w:rFonts w:hint="eastAsia" w:ascii="Times New Roman" w:hAnsi="Times New Roman"/>
                <w:b/>
                <w:color w:val="000000" w:themeColor="text1"/>
                <w:sz w:val="24"/>
                <w:szCs w:val="24"/>
                <w14:textFill>
                  <w14:solidFill>
                    <w14:schemeClr w14:val="tx1"/>
                  </w14:solidFill>
                </w14:textFill>
              </w:rPr>
              <w:t>数）</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4.技术</w:t>
            </w:r>
            <w:r>
              <w:rPr>
                <w:rFonts w:ascii="Times New Roman" w:hAnsi="Times New Roman"/>
                <w:b/>
                <w:color w:val="000000" w:themeColor="text1"/>
                <w:sz w:val="24"/>
                <w:szCs w:val="24"/>
                <w14:textFill>
                  <w14:solidFill>
                    <w14:schemeClr w14:val="tx1"/>
                  </w14:solidFill>
                </w14:textFill>
              </w:rPr>
              <w:t>标准</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5.质量标准</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97" w:type="dxa"/>
            <w:shd w:val="clear" w:color="auto" w:fill="auto"/>
            <w:vAlign w:val="center"/>
          </w:tcPr>
          <w:p>
            <w:pPr>
              <w:pStyle w:val="8"/>
              <w:snapToGrid w:val="0"/>
              <w:spacing w:before="60" w:beforeLines="25" w:after="60" w:afterLines="25" w:line="24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6.服务</w:t>
            </w:r>
            <w:r>
              <w:rPr>
                <w:rFonts w:ascii="Times New Roman" w:hAnsi="Times New Roman"/>
                <w:b/>
                <w:color w:val="000000" w:themeColor="text1"/>
                <w:sz w:val="24"/>
                <w:szCs w:val="24"/>
                <w14:textFill>
                  <w14:solidFill>
                    <w14:schemeClr w14:val="tx1"/>
                  </w14:solidFill>
                </w14:textFill>
              </w:rPr>
              <w:t>标准</w:t>
            </w:r>
          </w:p>
        </w:tc>
        <w:tc>
          <w:tcPr>
            <w:tcW w:w="6090" w:type="dxa"/>
            <w:shd w:val="clear" w:color="auto" w:fill="auto"/>
            <w:vAlign w:val="center"/>
          </w:tcPr>
          <w:p>
            <w:pPr>
              <w:pStyle w:val="8"/>
              <w:snapToGrid w:val="0"/>
              <w:spacing w:before="60" w:beforeLines="25" w:after="60" w:afterLines="25" w:line="240" w:lineRule="auto"/>
              <w:ind w:left="1180" w:hanging="700"/>
              <w:rPr>
                <w:rFonts w:ascii="Times New Roman" w:hAnsi="Times New Roman"/>
                <w:color w:val="000000" w:themeColor="text1"/>
                <w:sz w:val="24"/>
                <w:szCs w:val="24"/>
                <w14:textFill>
                  <w14:solidFill>
                    <w14:schemeClr w14:val="tx1"/>
                  </w14:solidFill>
                </w14:textFill>
              </w:rPr>
            </w:pPr>
          </w:p>
        </w:tc>
      </w:tr>
    </w:tbl>
    <w:p>
      <w:pPr>
        <w:pStyle w:val="8"/>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我方拟派的</w:t>
      </w:r>
      <w:r>
        <w:rPr>
          <w:rFonts w:hint="eastAsia" w:ascii="Times New Roman" w:hAnsi="Times New Roman"/>
          <w:color w:val="000000" w:themeColor="text1"/>
          <w:sz w:val="24"/>
          <w:szCs w:val="24"/>
          <w14:textFill>
            <w14:solidFill>
              <w14:schemeClr w14:val="tx1"/>
            </w14:solidFill>
          </w14:textFill>
        </w:rPr>
        <w:t>业务</w:t>
      </w:r>
      <w:r>
        <w:rPr>
          <w:rFonts w:ascii="Times New Roman" w:hAnsi="Times New Roman"/>
          <w:color w:val="000000" w:themeColor="text1"/>
          <w:sz w:val="24"/>
          <w:szCs w:val="24"/>
          <w14:textFill>
            <w14:solidFill>
              <w14:schemeClr w14:val="tx1"/>
            </w14:solidFill>
          </w14:textFill>
        </w:rPr>
        <w:t>（项目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经理为</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具有。</w:t>
      </w:r>
    </w:p>
    <w:p>
      <w:pPr>
        <w:pStyle w:val="8"/>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我方同意所提交的</w:t>
      </w:r>
      <w:r>
        <w:rPr>
          <w:rFonts w:hint="eastAsia" w:ascii="Times New Roman" w:hAnsi="Times New Roman"/>
          <w:color w:val="000000" w:themeColor="text1"/>
          <w:sz w:val="24"/>
          <w:szCs w:val="24"/>
          <w14:textFill>
            <w14:solidFill>
              <w14:schemeClr w14:val="tx1"/>
            </w14:solidFill>
          </w14:textFill>
        </w:rPr>
        <w:t>响应</w:t>
      </w:r>
      <w:r>
        <w:rPr>
          <w:rFonts w:ascii="Times New Roman" w:hAnsi="Times New Roman"/>
          <w:color w:val="000000" w:themeColor="text1"/>
          <w:sz w:val="24"/>
          <w:szCs w:val="24"/>
          <w14:textFill>
            <w14:solidFill>
              <w14:schemeClr w14:val="tx1"/>
            </w14:solidFill>
          </w14:textFill>
        </w:rPr>
        <w:t>文件在</w:t>
      </w:r>
      <w:r>
        <w:rPr>
          <w:rFonts w:hint="eastAsia" w:ascii="Times New Roman" w:hAnsi="Times New Roman"/>
          <w:color w:val="000000" w:themeColor="text1"/>
          <w:sz w:val="24"/>
          <w:szCs w:val="24"/>
          <w14:textFill>
            <w14:solidFill>
              <w14:schemeClr w14:val="tx1"/>
            </w14:solidFill>
          </w14:textFill>
        </w:rPr>
        <w:t>竞争性选商</w:t>
      </w:r>
      <w:r>
        <w:rPr>
          <w:rFonts w:ascii="Times New Roman" w:hAnsi="Times New Roman"/>
          <w:color w:val="000000" w:themeColor="text1"/>
          <w:sz w:val="24"/>
          <w:szCs w:val="24"/>
          <w14:textFill>
            <w14:solidFill>
              <w14:schemeClr w14:val="tx1"/>
            </w14:solidFill>
          </w14:textFill>
        </w:rPr>
        <w:t>文件规定的</w:t>
      </w:r>
      <w:r>
        <w:rPr>
          <w:rFonts w:hint="eastAsia" w:ascii="Times New Roman" w:hAnsi="Times New Roman"/>
          <w:color w:val="000000" w:themeColor="text1"/>
          <w:sz w:val="24"/>
          <w:szCs w:val="24"/>
          <w14:textFill>
            <w14:solidFill>
              <w14:schemeClr w14:val="tx1"/>
            </w14:solidFill>
          </w14:textFill>
        </w:rPr>
        <w:t>响应</w:t>
      </w:r>
      <w:r>
        <w:rPr>
          <w:rFonts w:ascii="Times New Roman" w:hAnsi="Times New Roman"/>
          <w:color w:val="000000" w:themeColor="text1"/>
          <w:sz w:val="24"/>
          <w:szCs w:val="24"/>
          <w14:textFill>
            <w14:solidFill>
              <w14:schemeClr w14:val="tx1"/>
            </w14:solidFill>
          </w14:textFill>
        </w:rPr>
        <w:t>有效期内有效，在此期间内如果</w:t>
      </w:r>
      <w:r>
        <w:rPr>
          <w:rFonts w:hint="eastAsia" w:ascii="Times New Roman" w:hAnsi="Times New Roman"/>
          <w:color w:val="000000" w:themeColor="text1"/>
          <w:sz w:val="24"/>
          <w:szCs w:val="24"/>
          <w14:textFill>
            <w14:solidFill>
              <w14:schemeClr w14:val="tx1"/>
            </w14:solidFill>
          </w14:textFill>
        </w:rPr>
        <w:t>成交、</w:t>
      </w:r>
      <w:r>
        <w:rPr>
          <w:rFonts w:ascii="Times New Roman" w:hAnsi="Times New Roman"/>
          <w:color w:val="000000" w:themeColor="text1"/>
          <w:sz w:val="24"/>
          <w:szCs w:val="24"/>
          <w14:textFill>
            <w14:solidFill>
              <w14:schemeClr w14:val="tx1"/>
            </w14:solidFill>
          </w14:textFill>
        </w:rPr>
        <w:t>签约，我方将受此约束。</w:t>
      </w:r>
    </w:p>
    <w:p>
      <w:pPr>
        <w:pStyle w:val="8"/>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我方承诺：</w:t>
      </w:r>
    </w:p>
    <w:p>
      <w:pPr>
        <w:pStyle w:val="8"/>
        <w:numPr>
          <w:ilvl w:val="0"/>
          <w:numId w:val="2"/>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w:t>
      </w:r>
      <w:r>
        <w:rPr>
          <w:rFonts w:hint="eastAsia" w:ascii="Times New Roman" w:hAnsi="Times New Roman"/>
          <w:color w:val="000000" w:themeColor="text1"/>
          <w:sz w:val="24"/>
          <w:szCs w:val="24"/>
          <w14:textFill>
            <w14:solidFill>
              <w14:schemeClr w14:val="tx1"/>
            </w14:solidFill>
          </w14:textFill>
        </w:rPr>
        <w:t>成交</w:t>
      </w:r>
      <w:r>
        <w:rPr>
          <w:rFonts w:ascii="Times New Roman" w:hAnsi="Times New Roman"/>
          <w:color w:val="000000" w:themeColor="text1"/>
          <w:sz w:val="24"/>
          <w:szCs w:val="24"/>
          <w14:textFill>
            <w14:solidFill>
              <w14:schemeClr w14:val="tx1"/>
            </w14:solidFill>
          </w14:textFill>
        </w:rPr>
        <w:t>通知书规定的期限内与</w:t>
      </w:r>
      <w:r>
        <w:rPr>
          <w:rFonts w:hint="eastAsia" w:ascii="Times New Roman" w:hAnsi="Times New Roman"/>
          <w:color w:val="000000" w:themeColor="text1"/>
          <w:sz w:val="24"/>
          <w:szCs w:val="24"/>
          <w14:textFill>
            <w14:solidFill>
              <w14:schemeClr w14:val="tx1"/>
            </w14:solidFill>
          </w14:textFill>
        </w:rPr>
        <w:t>贵司</w:t>
      </w:r>
      <w:r>
        <w:rPr>
          <w:rFonts w:ascii="Times New Roman" w:hAnsi="Times New Roman"/>
          <w:color w:val="000000" w:themeColor="text1"/>
          <w:sz w:val="24"/>
          <w:szCs w:val="24"/>
          <w14:textFill>
            <w14:solidFill>
              <w14:schemeClr w14:val="tx1"/>
            </w14:solidFill>
          </w14:textFill>
        </w:rPr>
        <w:t>签订合同；</w:t>
      </w:r>
    </w:p>
    <w:p>
      <w:pPr>
        <w:pStyle w:val="8"/>
        <w:numPr>
          <w:ilvl w:val="0"/>
          <w:numId w:val="2"/>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不论</w:t>
      </w:r>
      <w:r>
        <w:rPr>
          <w:rFonts w:hint="eastAsia" w:ascii="Times New Roman" w:hAnsi="Times New Roman"/>
          <w:color w:val="000000" w:themeColor="text1"/>
          <w:sz w:val="24"/>
          <w:szCs w:val="24"/>
          <w14:textFill>
            <w14:solidFill>
              <w14:schemeClr w14:val="tx1"/>
            </w14:solidFill>
          </w14:textFill>
        </w:rPr>
        <w:t>成交</w:t>
      </w:r>
      <w:r>
        <w:rPr>
          <w:rFonts w:ascii="Times New Roman" w:hAnsi="Times New Roman"/>
          <w:color w:val="000000" w:themeColor="text1"/>
          <w:sz w:val="24"/>
          <w:szCs w:val="24"/>
          <w14:textFill>
            <w14:solidFill>
              <w14:schemeClr w14:val="tx1"/>
            </w14:solidFill>
          </w14:textFill>
        </w:rPr>
        <w:t>与否，10年内对</w:t>
      </w:r>
      <w:r>
        <w:rPr>
          <w:rFonts w:hint="eastAsia" w:ascii="Times New Roman" w:hAnsi="Times New Roman"/>
          <w:color w:val="000000" w:themeColor="text1"/>
          <w:sz w:val="24"/>
          <w:szCs w:val="24"/>
          <w14:textFill>
            <w14:solidFill>
              <w14:schemeClr w14:val="tx1"/>
            </w14:solidFill>
          </w14:textFill>
        </w:rPr>
        <w:t>本次响应</w:t>
      </w:r>
      <w:r>
        <w:rPr>
          <w:rFonts w:ascii="Times New Roman" w:hAnsi="Times New Roman"/>
          <w:color w:val="000000" w:themeColor="text1"/>
          <w:sz w:val="24"/>
          <w:szCs w:val="24"/>
          <w14:textFill>
            <w14:solidFill>
              <w14:schemeClr w14:val="tx1"/>
            </w14:solidFill>
          </w14:textFill>
        </w:rPr>
        <w:t>期间往来资料承担保密责任；</w:t>
      </w:r>
    </w:p>
    <w:p>
      <w:pPr>
        <w:pStyle w:val="8"/>
        <w:numPr>
          <w:ilvl w:val="0"/>
          <w:numId w:val="2"/>
        </w:numPr>
        <w:snapToGrid w:val="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在</w:t>
      </w:r>
      <w:r>
        <w:rPr>
          <w:rFonts w:ascii="Times New Roman" w:hAnsi="Times New Roman"/>
          <w:color w:val="000000" w:themeColor="text1"/>
          <w:sz w:val="24"/>
          <w:szCs w:val="24"/>
          <w14:textFill>
            <w14:solidFill>
              <w14:schemeClr w14:val="tx1"/>
            </w14:solidFill>
          </w14:textFill>
        </w:rPr>
        <w:t>本次</w:t>
      </w:r>
      <w:r>
        <w:rPr>
          <w:rFonts w:hint="eastAsia" w:ascii="Times New Roman" w:hAnsi="Times New Roman"/>
          <w:color w:val="000000" w:themeColor="text1"/>
          <w:sz w:val="24"/>
          <w:szCs w:val="24"/>
          <w14:textFill>
            <w14:solidFill>
              <w14:schemeClr w14:val="tx1"/>
            </w14:solidFill>
          </w14:textFill>
        </w:rPr>
        <w:t>响应以及若</w:t>
      </w:r>
      <w:r>
        <w:rPr>
          <w:rFonts w:ascii="Times New Roman" w:hAnsi="Times New Roman"/>
          <w:color w:val="000000" w:themeColor="text1"/>
          <w:sz w:val="24"/>
          <w:szCs w:val="24"/>
          <w14:textFill>
            <w14:solidFill>
              <w14:schemeClr w14:val="tx1"/>
            </w14:solidFill>
          </w14:textFill>
        </w:rPr>
        <w:t>成交后的合同签订和</w:t>
      </w:r>
      <w:r>
        <w:rPr>
          <w:rFonts w:hint="eastAsia" w:ascii="Times New Roman" w:hAnsi="Times New Roman"/>
          <w:color w:val="000000" w:themeColor="text1"/>
          <w:sz w:val="24"/>
          <w:szCs w:val="24"/>
          <w14:textFill>
            <w14:solidFill>
              <w14:schemeClr w14:val="tx1"/>
            </w14:solidFill>
          </w14:textFill>
        </w:rPr>
        <w:t>履行</w:t>
      </w:r>
      <w:r>
        <w:rPr>
          <w:rFonts w:ascii="Times New Roman" w:hAnsi="Times New Roman"/>
          <w:color w:val="000000" w:themeColor="text1"/>
          <w:sz w:val="24"/>
          <w:szCs w:val="24"/>
          <w14:textFill>
            <w14:solidFill>
              <w14:schemeClr w14:val="tx1"/>
            </w14:solidFill>
          </w14:textFill>
        </w:rPr>
        <w:t>中</w:t>
      </w:r>
      <w:r>
        <w:rPr>
          <w:rFonts w:hint="eastAsia" w:ascii="Times New Roman" w:hAnsi="Times New Roman"/>
          <w:color w:val="000000" w:themeColor="text1"/>
          <w:sz w:val="24"/>
          <w:szCs w:val="24"/>
          <w14:textFill>
            <w14:solidFill>
              <w14:schemeClr w14:val="tx1"/>
            </w14:solidFill>
          </w14:textFill>
        </w:rPr>
        <w:t>遵守“诚实</w:t>
      </w:r>
      <w:r>
        <w:rPr>
          <w:rFonts w:ascii="Times New Roman" w:hAnsi="Times New Roman"/>
          <w:color w:val="000000" w:themeColor="text1"/>
          <w:sz w:val="24"/>
          <w:szCs w:val="24"/>
          <w14:textFill>
            <w14:solidFill>
              <w14:schemeClr w14:val="tx1"/>
            </w14:solidFill>
          </w14:textFill>
        </w:rPr>
        <w:t>守信合规</w:t>
      </w:r>
      <w:r>
        <w:rPr>
          <w:rFonts w:hint="eastAsia" w:ascii="Times New Roman" w:hAnsi="Times New Roman"/>
          <w:color w:val="000000" w:themeColor="text1"/>
          <w:sz w:val="24"/>
          <w:szCs w:val="24"/>
          <w14:textFill>
            <w14:solidFill>
              <w14:schemeClr w14:val="tx1"/>
            </w14:solidFill>
          </w14:textFill>
        </w:rPr>
        <w:t>”的要求</w:t>
      </w:r>
      <w:r>
        <w:rPr>
          <w:rFonts w:ascii="Times New Roman" w:hAnsi="Times New Roman"/>
          <w:color w:val="000000" w:themeColor="text1"/>
          <w:sz w:val="24"/>
          <w:szCs w:val="24"/>
          <w14:textFill>
            <w14:solidFill>
              <w14:schemeClr w14:val="tx1"/>
            </w14:solidFill>
          </w14:textFill>
        </w:rPr>
        <w:t>。</w:t>
      </w:r>
    </w:p>
    <w:p>
      <w:pPr>
        <w:pStyle w:val="8"/>
        <w:numPr>
          <w:ilvl w:val="0"/>
          <w:numId w:val="2"/>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其他：_______________________________</w:t>
      </w:r>
    </w:p>
    <w:p>
      <w:pPr>
        <w:pStyle w:val="8"/>
        <w:numPr>
          <w:ilvl w:val="0"/>
          <w:numId w:val="1"/>
        </w:numPr>
        <w:snapToGrid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我方在此声明，所递交的</w:t>
      </w:r>
      <w:r>
        <w:rPr>
          <w:rFonts w:hint="eastAsia" w:ascii="Times New Roman" w:hAnsi="Times New Roman"/>
          <w:color w:val="000000" w:themeColor="text1"/>
          <w:sz w:val="24"/>
          <w:szCs w:val="24"/>
          <w14:textFill>
            <w14:solidFill>
              <w14:schemeClr w14:val="tx1"/>
            </w14:solidFill>
          </w14:textFill>
        </w:rPr>
        <w:t>响应</w:t>
      </w:r>
      <w:r>
        <w:rPr>
          <w:rFonts w:ascii="Times New Roman" w:hAnsi="Times New Roman"/>
          <w:color w:val="000000" w:themeColor="text1"/>
          <w:sz w:val="24"/>
          <w:szCs w:val="24"/>
          <w14:textFill>
            <w14:solidFill>
              <w14:schemeClr w14:val="tx1"/>
            </w14:solidFill>
          </w14:textFill>
        </w:rPr>
        <w:t>文件及有关资料内容完整、真实和准确</w:t>
      </w:r>
      <w:r>
        <w:rPr>
          <w:rFonts w:hint="eastAsia" w:ascii="Times New Roman" w:hAnsi="Times New Roman"/>
          <w:color w:val="000000" w:themeColor="text1"/>
          <w:sz w:val="24"/>
          <w:szCs w:val="24"/>
          <w14:textFill>
            <w14:solidFill>
              <w14:schemeClr w14:val="tx1"/>
            </w14:solidFill>
          </w14:textFill>
        </w:rPr>
        <w:t>。</w:t>
      </w:r>
    </w:p>
    <w:p>
      <w:pPr>
        <w:snapToGrid w:val="0"/>
        <w:ind w:firstLine="480" w:firstLineChars="200"/>
        <w:rPr>
          <w:color w:val="000000" w:themeColor="text1"/>
          <w14:textFill>
            <w14:solidFill>
              <w14:schemeClr w14:val="tx1"/>
            </w14:solidFill>
          </w14:textFill>
        </w:rPr>
      </w:pPr>
    </w:p>
    <w:p>
      <w:pPr>
        <w:snapToGrid w:val="0"/>
        <w:ind w:firstLine="480" w:firstLineChars="200"/>
        <w:rPr>
          <w:color w:val="000000" w:themeColor="text1"/>
          <w14:textFill>
            <w14:solidFill>
              <w14:schemeClr w14:val="tx1"/>
            </w14:solidFill>
          </w14:textFill>
        </w:rPr>
      </w:pPr>
    </w:p>
    <w:p>
      <w:pPr>
        <w:pStyle w:val="8"/>
        <w:ind w:left="2268" w:firstLine="1560"/>
        <w:jc w:val="center"/>
        <w:rPr>
          <w:rFonts w:ascii="Times New Roman" w:hAnsi="Times New Roman"/>
          <w:b/>
          <w:sz w:val="28"/>
          <w:szCs w:val="28"/>
          <w:u w:val="single"/>
        </w:rPr>
      </w:pPr>
      <w:r>
        <w:rPr>
          <w:rFonts w:hint="eastAsia" w:ascii="Times New Roman" w:hAnsi="Times New Roman"/>
          <w:b/>
          <w:sz w:val="28"/>
          <w:szCs w:val="28"/>
        </w:rPr>
        <w:t>响应</w:t>
      </w:r>
      <w:r>
        <w:rPr>
          <w:rFonts w:ascii="Times New Roman" w:hAnsi="Times New Roman"/>
          <w:b/>
          <w:sz w:val="28"/>
          <w:szCs w:val="28"/>
        </w:rPr>
        <w:t>人：</w:t>
      </w:r>
      <w:r>
        <w:rPr>
          <w:rFonts w:ascii="Times New Roman" w:hAnsi="Times New Roman"/>
          <w:b/>
          <w:sz w:val="28"/>
          <w:szCs w:val="28"/>
          <w:u w:val="single"/>
        </w:rPr>
        <w:t>（</w:t>
      </w:r>
      <w:r>
        <w:rPr>
          <w:rFonts w:hint="eastAsia" w:ascii="Times New Roman" w:hAnsi="Times New Roman"/>
          <w:b/>
          <w:sz w:val="28"/>
          <w:szCs w:val="28"/>
          <w:u w:val="single"/>
        </w:rPr>
        <w:t>单位</w:t>
      </w:r>
      <w:r>
        <w:rPr>
          <w:rFonts w:ascii="Times New Roman" w:hAnsi="Times New Roman"/>
          <w:b/>
          <w:sz w:val="28"/>
          <w:szCs w:val="28"/>
          <w:u w:val="single"/>
        </w:rPr>
        <w:t>盖章）</w:t>
      </w:r>
    </w:p>
    <w:p>
      <w:pPr>
        <w:pStyle w:val="8"/>
        <w:ind w:left="1384" w:firstLine="1735"/>
        <w:jc w:val="center"/>
        <w:rPr>
          <w:color w:val="000000" w:themeColor="text1"/>
          <w:sz w:val="24"/>
          <w:szCs w:val="24"/>
          <w14:textFill>
            <w14:solidFill>
              <w14:schemeClr w14:val="tx1"/>
            </w14:solidFill>
          </w14:textFill>
        </w:rPr>
      </w:pPr>
    </w:p>
    <w:p>
      <w:pPr>
        <w:spacing w:before="120" w:beforeLines="50" w:line="240" w:lineRule="auto"/>
        <w:ind w:firstLine="4537" w:firstLineChars="1614"/>
        <w:jc w:val="center"/>
        <w:rPr>
          <w:b/>
          <w:snapToGrid w:val="0"/>
          <w:kern w:val="0"/>
          <w:sz w:val="28"/>
          <w:szCs w:val="28"/>
        </w:rPr>
      </w:pPr>
      <w:r>
        <w:rPr>
          <w:b/>
          <w:snapToGrid w:val="0"/>
          <w:kern w:val="0"/>
          <w:sz w:val="28"/>
          <w:szCs w:val="28"/>
        </w:rPr>
        <w:t>日期：</w:t>
      </w:r>
      <w:r>
        <w:rPr>
          <w:rFonts w:hint="eastAsia"/>
          <w:b/>
          <w:snapToGrid w:val="0"/>
          <w:kern w:val="0"/>
          <w:sz w:val="28"/>
          <w:szCs w:val="28"/>
        </w:rPr>
        <w:t>20  年  月  日</w:t>
      </w:r>
    </w:p>
    <w:p>
      <w:pPr>
        <w:widowControl/>
        <w:spacing w:line="240" w:lineRule="auto"/>
        <w:jc w:val="left"/>
        <w:rPr>
          <w:b/>
        </w:rPr>
      </w:pPr>
      <w:r>
        <w:rPr>
          <w:b/>
          <w:snapToGrid w:val="0"/>
          <w:color w:val="0000FF"/>
          <w:kern w:val="0"/>
          <w:sz w:val="28"/>
          <w:szCs w:val="28"/>
        </w:rPr>
        <w:br w:type="page"/>
      </w:r>
      <w:r>
        <w:rPr>
          <w:b/>
        </w:rPr>
        <w:t>附件3</w:t>
      </w:r>
    </w:p>
    <w:p>
      <w:pPr>
        <w:widowControl/>
        <w:spacing w:line="240" w:lineRule="auto"/>
        <w:jc w:val="left"/>
        <w:rPr>
          <w:b/>
        </w:rPr>
      </w:pPr>
    </w:p>
    <w:p>
      <w:pPr>
        <w:pStyle w:val="2"/>
        <w:spacing w:before="120" w:after="120" w:line="240" w:lineRule="auto"/>
        <w:jc w:val="center"/>
        <w:rPr>
          <w:rFonts w:ascii="黑体" w:hAnsi="黑体" w:eastAsia="黑体" w:cs="黑体"/>
          <w:color w:val="000000"/>
          <w:w w:val="120"/>
          <w:sz w:val="44"/>
          <w:szCs w:val="44"/>
        </w:rPr>
      </w:pPr>
      <w:r>
        <w:rPr>
          <w:rFonts w:hint="eastAsia" w:ascii="黑体" w:hAnsi="黑体" w:eastAsia="黑体" w:cs="黑体"/>
          <w:color w:val="000000"/>
          <w:w w:val="120"/>
          <w:sz w:val="44"/>
          <w:szCs w:val="44"/>
        </w:rPr>
        <w:t>法定代表人身份证明书</w:t>
      </w:r>
    </w:p>
    <w:p>
      <w:pPr>
        <w:spacing w:line="660" w:lineRule="exact"/>
        <w:rPr>
          <w:rFonts w:ascii="宋体" w:hAnsi="宋体" w:eastAsia="黑体"/>
          <w:color w:val="000000"/>
          <w:sz w:val="32"/>
        </w:rPr>
      </w:pPr>
    </w:p>
    <w:p>
      <w:pPr>
        <w:spacing w:line="660" w:lineRule="exact"/>
        <w:rPr>
          <w:rFonts w:ascii="宋体" w:hAnsi="宋体"/>
          <w:b/>
          <w:bCs/>
          <w:color w:val="000000"/>
          <w:sz w:val="32"/>
        </w:rPr>
      </w:pPr>
    </w:p>
    <w:p>
      <w:pPr>
        <w:spacing w:line="660" w:lineRule="exact"/>
        <w:ind w:firstLine="321" w:firstLineChars="100"/>
        <w:rPr>
          <w:rFonts w:ascii="宋体" w:hAnsi="宋体"/>
          <w:b/>
          <w:bCs/>
          <w:color w:val="000000"/>
          <w:sz w:val="32"/>
        </w:rPr>
      </w:pPr>
      <w:r>
        <w:rPr>
          <w:rFonts w:hint="eastAsia" w:ascii="宋体" w:hAnsi="宋体"/>
          <w:b/>
          <w:bCs/>
          <w:color w:val="000000"/>
          <w:sz w:val="32"/>
        </w:rPr>
        <w:t>单位名称：  地  址：</w:t>
      </w:r>
    </w:p>
    <w:p>
      <w:pPr>
        <w:spacing w:line="660" w:lineRule="exact"/>
        <w:rPr>
          <w:rFonts w:ascii="宋体" w:hAnsi="宋体"/>
          <w:b/>
          <w:bCs/>
          <w:color w:val="000000"/>
          <w:sz w:val="32"/>
        </w:rPr>
      </w:pPr>
    </w:p>
    <w:p>
      <w:pPr>
        <w:spacing w:line="660" w:lineRule="exact"/>
        <w:ind w:firstLine="321" w:firstLineChars="100"/>
        <w:rPr>
          <w:rFonts w:ascii="宋体" w:hAnsi="宋体"/>
          <w:b/>
          <w:bCs/>
          <w:color w:val="000000"/>
          <w:sz w:val="32"/>
        </w:rPr>
      </w:pPr>
      <w:r>
        <w:rPr>
          <w:rFonts w:hint="eastAsia" w:ascii="宋体" w:hAnsi="宋体"/>
          <w:b/>
          <w:bCs/>
          <w:color w:val="000000"/>
          <w:sz w:val="32"/>
        </w:rPr>
        <w:t>姓    名：             职  务：</w:t>
      </w:r>
    </w:p>
    <w:p>
      <w:pPr>
        <w:spacing w:line="660" w:lineRule="exact"/>
        <w:rPr>
          <w:rFonts w:ascii="宋体" w:hAnsi="宋体"/>
          <w:b/>
          <w:bCs/>
          <w:color w:val="000000"/>
          <w:sz w:val="32"/>
        </w:rPr>
      </w:pPr>
    </w:p>
    <w:p>
      <w:pPr>
        <w:spacing w:line="660" w:lineRule="exact"/>
        <w:ind w:firstLine="320" w:firstLineChars="100"/>
        <w:rPr>
          <w:rFonts w:ascii="宋体" w:hAnsi="宋体"/>
          <w:color w:val="000000"/>
          <w:sz w:val="32"/>
        </w:rPr>
      </w:pPr>
    </w:p>
    <w:p>
      <w:pPr>
        <w:spacing w:before="240" w:beforeLines="100" w:line="800" w:lineRule="exact"/>
        <w:ind w:firstLine="958"/>
        <w:rPr>
          <w:rFonts w:ascii="宋体" w:hAnsi="宋体"/>
          <w:color w:val="000000"/>
          <w:sz w:val="32"/>
        </w:rPr>
      </w:pPr>
      <w:r>
        <w:rPr>
          <w:rFonts w:hint="eastAsia" w:ascii="宋体" w:hAnsi="宋体"/>
          <w:color w:val="000000"/>
          <w:sz w:val="32"/>
        </w:rPr>
        <w:t>系本单位的法定代表人。</w:t>
      </w:r>
    </w:p>
    <w:p>
      <w:pPr>
        <w:spacing w:line="660" w:lineRule="exact"/>
        <w:ind w:firstLine="660"/>
        <w:rPr>
          <w:rFonts w:ascii="宋体" w:hAnsi="宋体"/>
          <w:color w:val="000000"/>
          <w:sz w:val="32"/>
        </w:rPr>
      </w:pPr>
    </w:p>
    <w:p>
      <w:pPr>
        <w:spacing w:line="660" w:lineRule="exact"/>
        <w:ind w:firstLine="660"/>
        <w:rPr>
          <w:rFonts w:ascii="宋体" w:hAnsi="宋体"/>
          <w:color w:val="000000"/>
          <w:sz w:val="32"/>
        </w:rPr>
      </w:pPr>
      <w:r>
        <w:rPr>
          <w:rFonts w:hint="eastAsia" w:ascii="宋体" w:hAnsi="宋体"/>
          <w:color w:val="000000"/>
          <w:sz w:val="32"/>
        </w:rPr>
        <w:t>特此证明。</w:t>
      </w:r>
    </w:p>
    <w:p>
      <w:pPr>
        <w:spacing w:line="660" w:lineRule="exact"/>
        <w:rPr>
          <w:rFonts w:ascii="宋体" w:hAnsi="宋体"/>
          <w:color w:val="000000"/>
          <w:sz w:val="32"/>
        </w:rPr>
      </w:pPr>
    </w:p>
    <w:p>
      <w:pPr>
        <w:wordWrap w:val="0"/>
        <w:spacing w:line="660" w:lineRule="exact"/>
        <w:ind w:firstLine="3968" w:firstLineChars="1240"/>
        <w:jc w:val="right"/>
        <w:rPr>
          <w:rFonts w:ascii="宋体" w:hAnsi="宋体"/>
          <w:color w:val="000000"/>
          <w:sz w:val="32"/>
        </w:rPr>
      </w:pPr>
      <w:r>
        <w:rPr>
          <w:rFonts w:hint="eastAsia" w:ascii="宋体" w:hAnsi="宋体"/>
          <w:color w:val="000000"/>
          <w:sz w:val="32"/>
        </w:rPr>
        <w:t>单位：</w:t>
      </w:r>
      <w:r>
        <w:rPr>
          <w:rFonts w:hint="eastAsia" w:ascii="宋体" w:hAnsi="宋体"/>
          <w:color w:val="000000"/>
          <w:sz w:val="32"/>
          <w:u w:val="single"/>
        </w:rPr>
        <w:t xml:space="preserve">                （盖章）</w:t>
      </w:r>
    </w:p>
    <w:p>
      <w:pPr>
        <w:spacing w:line="660" w:lineRule="exact"/>
        <w:rPr>
          <w:rFonts w:ascii="宋体" w:hAnsi="宋体"/>
          <w:color w:val="000000"/>
          <w:sz w:val="32"/>
        </w:rPr>
      </w:pPr>
    </w:p>
    <w:p>
      <w:pPr>
        <w:spacing w:line="660" w:lineRule="exact"/>
        <w:ind w:firstLine="4494" w:firstLineChars="1605"/>
        <w:rPr>
          <w:rFonts w:ascii="宋体" w:hAnsi="宋体"/>
          <w:color w:val="000000"/>
          <w:sz w:val="28"/>
        </w:rPr>
      </w:pPr>
    </w:p>
    <w:p>
      <w:pPr>
        <w:wordWrap w:val="0"/>
        <w:spacing w:line="660" w:lineRule="exact"/>
        <w:ind w:right="320"/>
        <w:jc w:val="right"/>
        <w:rPr>
          <w:rFonts w:ascii="宋体" w:hAnsi="宋体"/>
          <w:color w:val="000000"/>
          <w:sz w:val="32"/>
          <w:szCs w:val="32"/>
        </w:rPr>
      </w:pPr>
      <w:r>
        <w:rPr>
          <w:rFonts w:hint="eastAsia" w:ascii="宋体" w:hAnsi="宋体"/>
          <w:color w:val="000000"/>
          <w:sz w:val="32"/>
          <w:szCs w:val="32"/>
        </w:rPr>
        <w:t>日  期：20  年  月  日</w:t>
      </w: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p>
    <w:p>
      <w:pPr>
        <w:widowControl/>
        <w:spacing w:line="240" w:lineRule="auto"/>
        <w:jc w:val="left"/>
        <w:rPr>
          <w:b/>
        </w:rPr>
      </w:pPr>
      <w:r>
        <w:rPr>
          <w:b/>
        </w:rPr>
        <w:t>附件4</w:t>
      </w:r>
    </w:p>
    <w:p>
      <w:pPr>
        <w:spacing w:before="120" w:beforeLines="50" w:after="360" w:afterLines="150"/>
        <w:jc w:val="center"/>
        <w:rPr>
          <w:b/>
          <w:bCs/>
          <w:snapToGrid w:val="0"/>
          <w:kern w:val="0"/>
          <w:sz w:val="44"/>
          <w:szCs w:val="44"/>
        </w:rPr>
      </w:pPr>
      <w:r>
        <w:rPr>
          <w:rFonts w:hint="eastAsia"/>
          <w:b/>
          <w:bCs/>
          <w:snapToGrid w:val="0"/>
          <w:kern w:val="0"/>
          <w:sz w:val="44"/>
          <w:szCs w:val="44"/>
        </w:rPr>
        <w:t>授权委托书</w:t>
      </w:r>
    </w:p>
    <w:p>
      <w:pPr>
        <w:spacing w:after="240" w:afterLines="100" w:line="700" w:lineRule="exact"/>
        <w:rPr>
          <w:rFonts w:ascii="宋体" w:hAnsi="宋体"/>
          <w:b/>
          <w:bCs/>
          <w:color w:val="000000"/>
          <w:sz w:val="32"/>
        </w:rPr>
      </w:pPr>
      <w:r>
        <w:rPr>
          <w:rFonts w:hint="eastAsia" w:ascii="宋体" w:hAnsi="宋体"/>
          <w:b/>
          <w:bCs/>
          <w:color w:val="000000"/>
          <w:sz w:val="32"/>
        </w:rPr>
        <w:t>本授权委托书声明：</w:t>
      </w:r>
    </w:p>
    <w:p>
      <w:pPr>
        <w:topLinePunct/>
        <w:spacing w:line="420" w:lineRule="auto"/>
        <w:ind w:firstLine="640" w:firstLineChars="200"/>
        <w:rPr>
          <w:rFonts w:ascii="宋体" w:hAnsi="宋体"/>
          <w:color w:val="000000"/>
          <w:sz w:val="32"/>
        </w:rPr>
      </w:pPr>
      <w:r>
        <w:rPr>
          <w:snapToGrid w:val="0"/>
          <w:kern w:val="0"/>
          <w:sz w:val="32"/>
          <w:szCs w:val="32"/>
        </w:rPr>
        <w:t>本人</w:t>
      </w:r>
      <w:r>
        <w:rPr>
          <w:rFonts w:hint="eastAsia"/>
          <w:b/>
          <w:bCs/>
          <w:snapToGrid w:val="0"/>
          <w:kern w:val="0"/>
          <w:sz w:val="32"/>
          <w:szCs w:val="32"/>
          <w:u w:val="single"/>
        </w:rPr>
        <w:t>（姓名）</w:t>
      </w:r>
      <w:r>
        <w:rPr>
          <w:snapToGrid w:val="0"/>
          <w:kern w:val="0"/>
          <w:sz w:val="32"/>
          <w:szCs w:val="32"/>
        </w:rPr>
        <w:t>系</w:t>
      </w:r>
      <w:r>
        <w:rPr>
          <w:rFonts w:hint="eastAsia"/>
          <w:b/>
          <w:bCs/>
          <w:snapToGrid w:val="0"/>
          <w:kern w:val="0"/>
          <w:sz w:val="32"/>
          <w:szCs w:val="32"/>
          <w:u w:val="single"/>
        </w:rPr>
        <w:t>（响应人名称）</w:t>
      </w:r>
      <w:r>
        <w:rPr>
          <w:snapToGrid w:val="0"/>
          <w:kern w:val="0"/>
          <w:sz w:val="32"/>
          <w:szCs w:val="32"/>
        </w:rPr>
        <w:t>的法定代表人，现</w:t>
      </w:r>
      <w:r>
        <w:rPr>
          <w:rFonts w:hint="eastAsia"/>
          <w:snapToGrid w:val="0"/>
          <w:kern w:val="0"/>
          <w:sz w:val="32"/>
          <w:szCs w:val="32"/>
        </w:rPr>
        <w:t>授权</w:t>
      </w:r>
      <w:r>
        <w:rPr>
          <w:snapToGrid w:val="0"/>
          <w:kern w:val="0"/>
          <w:sz w:val="32"/>
          <w:szCs w:val="32"/>
        </w:rPr>
        <w:t>委托</w:t>
      </w:r>
      <w:r>
        <w:rPr>
          <w:rFonts w:hint="eastAsia" w:ascii="宋体" w:hAnsi="宋体"/>
          <w:sz w:val="32"/>
        </w:rPr>
        <w:t>我单位</w:t>
      </w:r>
      <w:r>
        <w:rPr>
          <w:rFonts w:hint="eastAsia"/>
          <w:b/>
          <w:bCs/>
          <w:snapToGrid w:val="0"/>
          <w:kern w:val="0"/>
          <w:sz w:val="32"/>
          <w:szCs w:val="32"/>
          <w:u w:val="single"/>
        </w:rPr>
        <w:t>（姓名）</w:t>
      </w:r>
      <w:r>
        <w:rPr>
          <w:rFonts w:hint="eastAsia" w:ascii="宋体" w:hAnsi="宋体"/>
          <w:sz w:val="32"/>
        </w:rPr>
        <w:t>同志</w:t>
      </w:r>
      <w:r>
        <w:rPr>
          <w:rFonts w:ascii="宋体" w:hAnsi="宋体"/>
          <w:sz w:val="32"/>
        </w:rPr>
        <w:t>为</w:t>
      </w:r>
      <w:r>
        <w:rPr>
          <w:rFonts w:hint="eastAsia" w:ascii="宋体" w:hAnsi="宋体"/>
          <w:sz w:val="32"/>
        </w:rPr>
        <w:t>本单位</w:t>
      </w:r>
      <w:r>
        <w:rPr>
          <w:rFonts w:ascii="宋体" w:hAnsi="宋体"/>
          <w:sz w:val="32"/>
        </w:rPr>
        <w:t>授权代理人</w:t>
      </w:r>
      <w:r>
        <w:rPr>
          <w:rFonts w:hint="eastAsia" w:ascii="宋体" w:hAnsi="宋体"/>
          <w:sz w:val="32"/>
        </w:rPr>
        <w:t>，以本单位名义参加贵</w:t>
      </w:r>
      <w:r>
        <w:rPr>
          <w:rFonts w:ascii="宋体" w:hAnsi="宋体"/>
          <w:sz w:val="32"/>
        </w:rPr>
        <w:t>司</w:t>
      </w:r>
      <w:r>
        <w:rPr>
          <w:rFonts w:hint="eastAsia" w:ascii="宋体" w:hAnsi="宋体"/>
          <w:sz w:val="32"/>
        </w:rPr>
        <w:t>业</w:t>
      </w:r>
      <w:r>
        <w:rPr>
          <w:rFonts w:hint="eastAsia" w:ascii="宋体" w:hAnsi="宋体"/>
          <w:color w:val="000000"/>
          <w:sz w:val="32"/>
        </w:rPr>
        <w:t>务（</w:t>
      </w:r>
      <w:r>
        <w:rPr>
          <w:rFonts w:ascii="宋体" w:hAnsi="宋体"/>
          <w:color w:val="000000"/>
          <w:sz w:val="32"/>
        </w:rPr>
        <w:t>项目）的</w:t>
      </w:r>
      <w:r>
        <w:rPr>
          <w:rFonts w:hint="eastAsia" w:ascii="宋体" w:hAnsi="宋体"/>
          <w:sz w:val="32"/>
        </w:rPr>
        <w:t>竞争性</w:t>
      </w:r>
      <w:r>
        <w:rPr>
          <w:rFonts w:ascii="宋体" w:hAnsi="宋体"/>
          <w:sz w:val="32"/>
        </w:rPr>
        <w:t>选商，</w:t>
      </w:r>
      <w:r>
        <w:rPr>
          <w:rFonts w:hint="eastAsia" w:ascii="宋体" w:hAnsi="宋体"/>
          <w:sz w:val="32"/>
        </w:rPr>
        <w:t>授权委托代理人在竞争性</w:t>
      </w:r>
      <w:r>
        <w:rPr>
          <w:rFonts w:ascii="宋体" w:hAnsi="宋体"/>
          <w:sz w:val="32"/>
        </w:rPr>
        <w:t>选商</w:t>
      </w:r>
      <w:r>
        <w:rPr>
          <w:rFonts w:hint="eastAsia" w:ascii="宋体" w:hAnsi="宋体"/>
          <w:sz w:val="32"/>
        </w:rPr>
        <w:t>、</w:t>
      </w:r>
      <w:r>
        <w:rPr>
          <w:rFonts w:hint="eastAsia" w:ascii="宋体" w:hAnsi="宋体"/>
          <w:color w:val="000000"/>
          <w:sz w:val="32"/>
        </w:rPr>
        <w:t>合同谈判过程中所签署的一切文件和处理与之有关的一切事务，我均予以承认。</w:t>
      </w:r>
    </w:p>
    <w:p>
      <w:pPr>
        <w:topLinePunct/>
        <w:spacing w:line="420" w:lineRule="auto"/>
        <w:ind w:firstLine="640" w:firstLineChars="200"/>
        <w:rPr>
          <w:snapToGrid w:val="0"/>
          <w:kern w:val="0"/>
          <w:sz w:val="28"/>
          <w:szCs w:val="28"/>
        </w:rPr>
      </w:pPr>
      <w:r>
        <w:rPr>
          <w:rFonts w:hint="eastAsia" w:ascii="宋体" w:hAnsi="宋体"/>
          <w:color w:val="000000"/>
          <w:sz w:val="32"/>
        </w:rPr>
        <w:t>代理人</w:t>
      </w:r>
      <w:r>
        <w:rPr>
          <w:rFonts w:ascii="宋体" w:hAnsi="宋体"/>
          <w:color w:val="000000"/>
          <w:sz w:val="32"/>
        </w:rPr>
        <w:t>无转委托权</w:t>
      </w:r>
      <w:r>
        <w:rPr>
          <w:rFonts w:hint="eastAsia" w:ascii="宋体" w:hAnsi="宋体"/>
          <w:color w:val="000000"/>
          <w:sz w:val="32"/>
        </w:rPr>
        <w:t>，特此委托</w:t>
      </w:r>
      <w:r>
        <w:rPr>
          <w:snapToGrid w:val="0"/>
          <w:kern w:val="0"/>
          <w:sz w:val="28"/>
          <w:szCs w:val="28"/>
        </w:rPr>
        <w:t>。</w:t>
      </w:r>
    </w:p>
    <w:p>
      <w:pPr>
        <w:topLinePunct/>
        <w:spacing w:line="420" w:lineRule="auto"/>
        <w:ind w:firstLine="560" w:firstLineChars="200"/>
        <w:rPr>
          <w:snapToGrid w:val="0"/>
          <w:kern w:val="0"/>
          <w:sz w:val="28"/>
          <w:szCs w:val="28"/>
        </w:rPr>
      </w:pPr>
    </w:p>
    <w:p>
      <w:pPr>
        <w:spacing w:line="800" w:lineRule="exact"/>
        <w:ind w:firstLine="658"/>
        <w:rPr>
          <w:rFonts w:ascii="宋体" w:hAnsi="宋体"/>
          <w:color w:val="000000"/>
          <w:sz w:val="32"/>
        </w:rPr>
      </w:pPr>
      <w:r>
        <w:rPr>
          <w:rFonts w:hint="eastAsia" w:ascii="宋体" w:hAnsi="宋体"/>
          <w:color w:val="000000"/>
          <w:sz w:val="32"/>
        </w:rPr>
        <w:t>授权委托代理人（签字）：</w:t>
      </w:r>
    </w:p>
    <w:p>
      <w:pPr>
        <w:spacing w:line="800" w:lineRule="exact"/>
        <w:ind w:firstLine="658"/>
        <w:rPr>
          <w:rFonts w:ascii="宋体" w:hAnsi="宋体"/>
          <w:color w:val="000000"/>
          <w:sz w:val="32"/>
          <w:u w:val="single"/>
        </w:rPr>
      </w:pPr>
      <w:r>
        <w:rPr>
          <w:rFonts w:hint="eastAsia" w:ascii="宋体" w:hAnsi="宋体"/>
          <w:color w:val="000000"/>
          <w:sz w:val="32"/>
        </w:rPr>
        <w:t>职 务：</w:t>
      </w:r>
    </w:p>
    <w:p>
      <w:pPr>
        <w:spacing w:line="800" w:lineRule="exact"/>
        <w:ind w:firstLine="658"/>
        <w:rPr>
          <w:snapToGrid w:val="0"/>
          <w:kern w:val="0"/>
          <w:sz w:val="28"/>
          <w:szCs w:val="28"/>
          <w:u w:val="single"/>
        </w:rPr>
      </w:pPr>
      <w:r>
        <w:rPr>
          <w:rFonts w:hint="eastAsia" w:ascii="宋体" w:hAnsi="宋体"/>
          <w:color w:val="000000"/>
          <w:sz w:val="32"/>
        </w:rPr>
        <w:t>身份证号：</w:t>
      </w:r>
    </w:p>
    <w:p>
      <w:pPr>
        <w:topLinePunct/>
        <w:spacing w:line="420" w:lineRule="auto"/>
        <w:ind w:firstLine="560" w:firstLineChars="200"/>
        <w:rPr>
          <w:snapToGrid w:val="0"/>
          <w:kern w:val="0"/>
          <w:sz w:val="28"/>
          <w:szCs w:val="28"/>
        </w:rPr>
      </w:pPr>
    </w:p>
    <w:p>
      <w:pPr>
        <w:spacing w:before="360" w:beforeLines="150" w:after="360" w:afterLines="150"/>
        <w:ind w:right="560" w:firstLine="4620" w:firstLineChars="16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响应人（单位盖章）</w:t>
      </w:r>
      <w:r>
        <w:rPr>
          <w:color w:val="000000" w:themeColor="text1"/>
          <w:sz w:val="28"/>
          <w:szCs w:val="28"/>
          <w14:textFill>
            <w14:solidFill>
              <w14:schemeClr w14:val="tx1"/>
            </w14:solidFill>
          </w14:textFill>
        </w:rPr>
        <w:t>：</w:t>
      </w:r>
    </w:p>
    <w:p>
      <w:pPr>
        <w:spacing w:before="360" w:beforeLines="150" w:after="360" w:afterLines="150"/>
        <w:ind w:right="560" w:firstLine="3780" w:firstLineChars="13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法定</w:t>
      </w:r>
      <w:r>
        <w:rPr>
          <w:snapToGrid w:val="0"/>
          <w:kern w:val="0"/>
          <w:sz w:val="28"/>
          <w:szCs w:val="28"/>
        </w:rPr>
        <w:t>代表</w:t>
      </w:r>
      <w:r>
        <w:rPr>
          <w:color w:val="000000" w:themeColor="text1"/>
          <w:sz w:val="28"/>
          <w:szCs w:val="28"/>
          <w14:textFill>
            <w14:solidFill>
              <w14:schemeClr w14:val="tx1"/>
            </w14:solidFill>
          </w14:textFill>
        </w:rPr>
        <w:t>人</w:t>
      </w:r>
      <w:r>
        <w:rPr>
          <w:rFonts w:hint="eastAsia"/>
          <w:color w:val="000000" w:themeColor="text1"/>
          <w:sz w:val="28"/>
          <w:szCs w:val="28"/>
          <w14:textFill>
            <w14:solidFill>
              <w14:schemeClr w14:val="tx1"/>
            </w14:solidFill>
          </w14:textFill>
        </w:rPr>
        <w:t>（签字或盖章）</w:t>
      </w:r>
      <w:r>
        <w:rPr>
          <w:color w:val="000000" w:themeColor="text1"/>
          <w:sz w:val="28"/>
          <w:szCs w:val="28"/>
          <w14:textFill>
            <w14:solidFill>
              <w14:schemeClr w14:val="tx1"/>
            </w14:solidFill>
          </w14:textFill>
        </w:rPr>
        <w:t>：</w:t>
      </w:r>
    </w:p>
    <w:p>
      <w:pPr>
        <w:spacing w:before="360" w:beforeLines="150" w:after="360" w:afterLines="150"/>
        <w:ind w:right="560"/>
        <w:rPr>
          <w:color w:val="000000" w:themeColor="text1"/>
          <w:sz w:val="28"/>
          <w:szCs w:val="28"/>
          <w:u w:val="single"/>
          <w14:textFill>
            <w14:solidFill>
              <w14:schemeClr w14:val="tx1"/>
            </w14:solidFill>
          </w14:textFill>
        </w:rPr>
      </w:pPr>
    </w:p>
    <w:p>
      <w:pPr>
        <w:wordWrap w:val="0"/>
        <w:spacing w:before="120" w:beforeLines="50" w:line="240" w:lineRule="auto"/>
        <w:ind w:right="140" w:firstLine="560" w:firstLineChars="200"/>
        <w:jc w:val="right"/>
        <w:rPr>
          <w:snapToGrid w:val="0"/>
          <w:kern w:val="0"/>
          <w:sz w:val="28"/>
          <w:szCs w:val="28"/>
        </w:rPr>
      </w:pPr>
      <w:r>
        <w:rPr>
          <w:snapToGrid w:val="0"/>
          <w:kern w:val="0"/>
          <w:sz w:val="28"/>
          <w:szCs w:val="28"/>
        </w:rPr>
        <w:t>日期：20</w:t>
      </w:r>
      <w:r>
        <w:rPr>
          <w:rFonts w:hint="eastAsia"/>
          <w:snapToGrid w:val="0"/>
          <w:kern w:val="0"/>
          <w:sz w:val="28"/>
          <w:szCs w:val="28"/>
        </w:rPr>
        <w:t xml:space="preserve">  </w:t>
      </w:r>
      <w:r>
        <w:rPr>
          <w:snapToGrid w:val="0"/>
          <w:kern w:val="0"/>
          <w:sz w:val="28"/>
          <w:szCs w:val="28"/>
        </w:rPr>
        <w:t>年</w:t>
      </w:r>
      <w:r>
        <w:rPr>
          <w:rFonts w:hint="eastAsia"/>
          <w:snapToGrid w:val="0"/>
          <w:kern w:val="0"/>
          <w:sz w:val="28"/>
          <w:szCs w:val="28"/>
        </w:rPr>
        <w:t xml:space="preserve">  月  日</w:t>
      </w:r>
    </w:p>
    <w:p>
      <w:pPr>
        <w:widowControl/>
        <w:spacing w:line="240" w:lineRule="auto"/>
        <w:jc w:val="left"/>
        <w:rPr>
          <w:b/>
        </w:rPr>
      </w:pPr>
    </w:p>
    <w:p>
      <w:pPr>
        <w:widowControl/>
        <w:spacing w:line="240" w:lineRule="auto"/>
        <w:jc w:val="left"/>
        <w:rPr>
          <w:b/>
        </w:rPr>
      </w:pPr>
    </w:p>
    <w:p>
      <w:pPr>
        <w:widowControl/>
        <w:spacing w:line="240" w:lineRule="auto"/>
        <w:jc w:val="left"/>
        <w:rPr>
          <w:b/>
        </w:rPr>
      </w:pPr>
      <w:r>
        <w:rPr>
          <w:b/>
        </w:rPr>
        <w:t>附件5</w:t>
      </w:r>
    </w:p>
    <w:p>
      <w:pPr>
        <w:spacing w:before="120" w:beforeLines="50" w:after="360" w:afterLines="150"/>
        <w:jc w:val="center"/>
        <w:rPr>
          <w:b/>
          <w:bCs/>
          <w:snapToGrid w:val="0"/>
          <w:kern w:val="0"/>
          <w:sz w:val="44"/>
          <w:szCs w:val="44"/>
        </w:rPr>
      </w:pPr>
      <w:r>
        <w:rPr>
          <w:rFonts w:hint="eastAsia"/>
          <w:b/>
          <w:bCs/>
          <w:snapToGrid w:val="0"/>
          <w:kern w:val="0"/>
          <w:sz w:val="44"/>
          <w:szCs w:val="44"/>
        </w:rPr>
        <w:t>响应人声明书</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0"/>
        <w:gridCol w:w="5178"/>
        <w:gridCol w:w="257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5" w:hRule="atLeast"/>
          <w:jc w:val="center"/>
        </w:trPr>
        <w:tc>
          <w:tcPr>
            <w:tcW w:w="665" w:type="dxa"/>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序号</w:t>
            </w:r>
          </w:p>
        </w:tc>
        <w:tc>
          <w:tcPr>
            <w:tcW w:w="5142" w:type="dxa"/>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声明的</w:t>
            </w:r>
            <w:r>
              <w:rPr>
                <w:rFonts w:hint="eastAsia"/>
                <w:b/>
                <w:color w:val="000000" w:themeColor="text1"/>
                <w:sz w:val="28"/>
                <w:szCs w:val="28"/>
                <w14:textFill>
                  <w14:solidFill>
                    <w14:schemeClr w14:val="tx1"/>
                  </w14:solidFill>
                </w14:textFill>
              </w:rPr>
              <w:t>内容</w:t>
            </w:r>
          </w:p>
        </w:tc>
        <w:tc>
          <w:tcPr>
            <w:tcW w:w="2552" w:type="dxa"/>
            <w:tcBorders>
              <w:right w:val="single" w:color="auto" w:sz="4" w:space="0"/>
            </w:tcBorders>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声明的情形</w:t>
            </w:r>
            <w:r>
              <w:rPr>
                <w:rFonts w:hint="eastAsia"/>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是/否</w:t>
            </w:r>
            <w:r>
              <w:rPr>
                <w:rFonts w:hint="eastAsia"/>
                <w:b/>
                <w:color w:val="000000" w:themeColor="text1"/>
                <w:sz w:val="28"/>
                <w:szCs w:val="28"/>
                <w14:textFill>
                  <w14:solidFill>
                    <w14:schemeClr w14:val="tx1"/>
                  </w14:solidFill>
                </w14:textFill>
              </w:rPr>
              <w:t>)</w:t>
            </w:r>
          </w:p>
        </w:tc>
        <w:tc>
          <w:tcPr>
            <w:tcW w:w="985" w:type="dxa"/>
            <w:tcBorders>
              <w:left w:val="single" w:color="auto" w:sz="4" w:space="0"/>
            </w:tcBorders>
            <w:vAlign w:val="center"/>
          </w:tcPr>
          <w:p>
            <w:pPr>
              <w:adjustRightInd w:val="0"/>
              <w:snapToGrid w:val="0"/>
              <w:spacing w:line="24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widowControl/>
              <w:adjustRightInd w:val="0"/>
              <w:snapToGrid w:val="0"/>
              <w:spacing w:line="240" w:lineRule="auto"/>
              <w:rPr>
                <w:sz w:val="28"/>
                <w:szCs w:val="28"/>
              </w:rPr>
            </w:pPr>
            <w:r>
              <w:rPr>
                <w:sz w:val="28"/>
                <w:szCs w:val="28"/>
              </w:rPr>
              <w:t>是否为</w:t>
            </w:r>
            <w:r>
              <w:rPr>
                <w:rFonts w:hint="eastAsia"/>
                <w:sz w:val="28"/>
                <w:szCs w:val="28"/>
              </w:rPr>
              <w:t>竞争性选商邀请</w:t>
            </w:r>
            <w:r>
              <w:rPr>
                <w:sz w:val="28"/>
                <w:szCs w:val="28"/>
              </w:rPr>
              <w:t>人不具有独立法人资格的附属机构（单位）</w:t>
            </w:r>
            <w:r>
              <w:rPr>
                <w:rFonts w:hint="eastAsia"/>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widowControl/>
              <w:adjustRightInd w:val="0"/>
              <w:snapToGrid w:val="0"/>
              <w:spacing w:line="240" w:lineRule="auto"/>
              <w:rPr>
                <w:sz w:val="28"/>
                <w:szCs w:val="28"/>
              </w:rPr>
            </w:pPr>
            <w:r>
              <w:rPr>
                <w:sz w:val="28"/>
                <w:szCs w:val="28"/>
              </w:rPr>
              <w:t>是否与</w:t>
            </w:r>
            <w:r>
              <w:rPr>
                <w:rFonts w:hint="eastAsia"/>
                <w:sz w:val="28"/>
                <w:szCs w:val="28"/>
              </w:rPr>
              <w:t>竞争性选商邀请</w:t>
            </w:r>
            <w:r>
              <w:rPr>
                <w:sz w:val="28"/>
                <w:szCs w:val="28"/>
              </w:rPr>
              <w:t>人存在利害关系且影响</w:t>
            </w:r>
            <w:r>
              <w:rPr>
                <w:rFonts w:hint="eastAsia"/>
                <w:sz w:val="28"/>
                <w:szCs w:val="28"/>
              </w:rPr>
              <w:t>竞争性选商</w:t>
            </w:r>
            <w:r>
              <w:rPr>
                <w:sz w:val="28"/>
                <w:szCs w:val="28"/>
              </w:rPr>
              <w:t>公正性</w:t>
            </w:r>
            <w:r>
              <w:rPr>
                <w:rFonts w:hint="eastAsia"/>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2"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kern w:val="0"/>
                <w:sz w:val="28"/>
                <w:szCs w:val="28"/>
              </w:rPr>
            </w:pPr>
            <w:r>
              <w:rPr>
                <w:kern w:val="0"/>
                <w:sz w:val="28"/>
                <w:szCs w:val="28"/>
              </w:rPr>
              <w:t>是否存在单位负责人为同一人或者存在控股、管理关系的不同单位，参加同一标段</w:t>
            </w:r>
            <w:r>
              <w:rPr>
                <w:rFonts w:hint="eastAsia"/>
                <w:kern w:val="0"/>
                <w:sz w:val="28"/>
                <w:szCs w:val="28"/>
              </w:rPr>
              <w:t>响应</w:t>
            </w:r>
            <w:r>
              <w:rPr>
                <w:kern w:val="0"/>
                <w:sz w:val="28"/>
                <w:szCs w:val="28"/>
              </w:rPr>
              <w:t>或者未划分标段的同一</w:t>
            </w:r>
            <w:r>
              <w:rPr>
                <w:rFonts w:hint="eastAsia"/>
                <w:sz w:val="28"/>
                <w:szCs w:val="28"/>
              </w:rPr>
              <w:t>竞争性选商</w:t>
            </w:r>
            <w:r>
              <w:rPr>
                <w:kern w:val="0"/>
                <w:sz w:val="28"/>
                <w:szCs w:val="28"/>
              </w:rPr>
              <w:t>项目</w:t>
            </w:r>
            <w:r>
              <w:rPr>
                <w:rFonts w:hint="eastAsia"/>
                <w:kern w:val="0"/>
                <w:sz w:val="28"/>
                <w:szCs w:val="28"/>
              </w:rPr>
              <w:t>响应</w:t>
            </w:r>
            <w:r>
              <w:rPr>
                <w:kern w:val="0"/>
                <w:sz w:val="28"/>
                <w:szCs w:val="28"/>
              </w:rPr>
              <w:t>的情形</w:t>
            </w:r>
            <w:r>
              <w:rPr>
                <w:rFonts w:hint="eastAsia"/>
                <w:kern w:val="0"/>
                <w:sz w:val="28"/>
                <w:szCs w:val="28"/>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是否被依法暂停或者取消</w:t>
            </w:r>
            <w:r>
              <w:rPr>
                <w:rFonts w:hint="eastAsia"/>
                <w:color w:val="000000" w:themeColor="text1"/>
                <w:sz w:val="28"/>
                <w:szCs w:val="28"/>
                <w14:textFill>
                  <w14:solidFill>
                    <w14:schemeClr w14:val="tx1"/>
                  </w14:solidFill>
                </w14:textFill>
              </w:rPr>
              <w:t>响应</w:t>
            </w:r>
            <w:r>
              <w:rPr>
                <w:color w:val="000000" w:themeColor="text1"/>
                <w:sz w:val="28"/>
                <w:szCs w:val="28"/>
                <w14:textFill>
                  <w14:solidFill>
                    <w14:schemeClr w14:val="tx1"/>
                  </w14:solidFill>
                </w14:textFill>
              </w:rPr>
              <w:t>资格、被责令停产停业、暂扣或者吊销许可证、暂扣或者吊销执照、进入清算程序，或被宣告破产，或其他丧失履约能力的情形</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近三年（按递交</w:t>
            </w:r>
            <w:r>
              <w:rPr>
                <w:rFonts w:hint="eastAsia"/>
                <w:color w:val="000000" w:themeColor="text1"/>
                <w:kern w:val="0"/>
                <w:sz w:val="28"/>
                <w:szCs w:val="28"/>
                <w14:textFill>
                  <w14:solidFill>
                    <w14:schemeClr w14:val="tx1"/>
                  </w14:solidFill>
                </w14:textFill>
              </w:rPr>
              <w:t>响应</w:t>
            </w:r>
            <w:r>
              <w:rPr>
                <w:color w:val="000000" w:themeColor="text1"/>
                <w:kern w:val="0"/>
                <w:sz w:val="28"/>
                <w:szCs w:val="28"/>
                <w14:textFill>
                  <w14:solidFill>
                    <w14:schemeClr w14:val="tx1"/>
                  </w14:solidFill>
                </w14:textFill>
              </w:rPr>
              <w:t>文件截止时间推算）是否发生过重大安全、重大质量问题</w:t>
            </w:r>
            <w:r>
              <w:rPr>
                <w:color w:val="000000" w:themeColor="text1"/>
                <w:sz w:val="28"/>
                <w:szCs w:val="28"/>
                <w14:textFill>
                  <w14:solidFill>
                    <w14:schemeClr w14:val="tx1"/>
                  </w14:solidFill>
                </w14:textFill>
              </w:rPr>
              <w:t>（以相关行业主管部门的行政处罚决定或司法机关出具的有关法律文书为准）</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是否被工商行政管理机关在全国企业信用信息公示系统中列入严重违法失信企业名单、被最高人民法院在“信用中国”网站（www.creditchina.gov.cn）或各级信用信息共享平台中列入失信被执行人名单</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近三年（按递交</w:t>
            </w:r>
            <w:r>
              <w:rPr>
                <w:rFonts w:hint="eastAsia"/>
                <w:color w:val="000000" w:themeColor="text1"/>
                <w:kern w:val="0"/>
                <w:sz w:val="28"/>
                <w:szCs w:val="28"/>
                <w14:textFill>
                  <w14:solidFill>
                    <w14:schemeClr w14:val="tx1"/>
                  </w14:solidFill>
                </w14:textFill>
              </w:rPr>
              <w:t>响应</w:t>
            </w:r>
            <w:r>
              <w:rPr>
                <w:color w:val="000000" w:themeColor="text1"/>
                <w:kern w:val="0"/>
                <w:sz w:val="28"/>
                <w:szCs w:val="28"/>
                <w14:textFill>
                  <w14:solidFill>
                    <w14:schemeClr w14:val="tx1"/>
                  </w14:solidFill>
                </w14:textFill>
              </w:rPr>
              <w:t>文件截止时间推算）</w:t>
            </w:r>
            <w:r>
              <w:rPr>
                <w:rFonts w:hint="eastAsia"/>
                <w:color w:val="000000" w:themeColor="text1"/>
                <w:sz w:val="28"/>
                <w:szCs w:val="28"/>
                <w14:textFill>
                  <w14:solidFill>
                    <w14:schemeClr w14:val="tx1"/>
                  </w14:solidFill>
                </w14:textFill>
              </w:rPr>
              <w:t>响应</w:t>
            </w:r>
            <w:r>
              <w:rPr>
                <w:color w:val="000000" w:themeColor="text1"/>
                <w:sz w:val="28"/>
                <w:szCs w:val="28"/>
                <w14:textFill>
                  <w14:solidFill>
                    <w14:schemeClr w14:val="tx1"/>
                  </w14:solidFill>
                </w14:textFill>
              </w:rPr>
              <w:t>人或其法定代表人、拟委任的</w:t>
            </w:r>
            <w:r>
              <w:rPr>
                <w:rFonts w:hint="eastAsia"/>
                <w:color w:val="000000" w:themeColor="text1"/>
                <w:sz w:val="28"/>
                <w:szCs w:val="28"/>
                <w14:textFill>
                  <w14:solidFill>
                    <w14:schemeClr w14:val="tx1"/>
                  </w14:solidFill>
                </w14:textFill>
              </w:rPr>
              <w:t>业务</w:t>
            </w:r>
            <w:r>
              <w:rPr>
                <w:color w:val="000000" w:themeColor="text1"/>
                <w:sz w:val="28"/>
                <w:szCs w:val="28"/>
                <w14:textFill>
                  <w14:solidFill>
                    <w14:schemeClr w14:val="tx1"/>
                  </w14:solidFill>
                </w14:textFill>
              </w:rPr>
              <w:t>（项目</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负责人是否有行贿犯罪行为</w:t>
            </w:r>
            <w:r>
              <w:rPr>
                <w:rFonts w:hint="eastAsia"/>
                <w:color w:val="000000" w:themeColor="text1"/>
                <w:sz w:val="28"/>
                <w:szCs w:val="28"/>
                <w14:textFill>
                  <w14:solidFill>
                    <w14:schemeClr w14:val="tx1"/>
                  </w14:solidFill>
                </w14:textFill>
              </w:rPr>
              <w:t>。</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是否</w:t>
            </w:r>
            <w:r>
              <w:rPr>
                <w:color w:val="000000" w:themeColor="text1"/>
                <w:sz w:val="28"/>
                <w:szCs w:val="28"/>
                <w14:textFill>
                  <w14:solidFill>
                    <w14:schemeClr w14:val="tx1"/>
                  </w14:solidFill>
                </w14:textFill>
              </w:rPr>
              <w:t>被列入</w:t>
            </w:r>
            <w:r>
              <w:rPr>
                <w:rFonts w:hint="eastAsia"/>
                <w:color w:val="000000" w:themeColor="text1"/>
                <w:sz w:val="28"/>
                <w:szCs w:val="28"/>
                <w14:textFill>
                  <w14:solidFill>
                    <w14:schemeClr w14:val="tx1"/>
                  </w14:solidFill>
                </w14:textFill>
              </w:rPr>
              <w:t>政府</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行业</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中</w:t>
            </w:r>
            <w:r>
              <w:rPr>
                <w:color w:val="000000" w:themeColor="text1"/>
                <w:sz w:val="28"/>
                <w:szCs w:val="28"/>
                <w14:textFill>
                  <w14:solidFill>
                    <w14:schemeClr w14:val="tx1"/>
                  </w14:solidFill>
                </w14:textFill>
              </w:rPr>
              <w:t>国石化、</w:t>
            </w:r>
            <w:r>
              <w:rPr>
                <w:rFonts w:hint="eastAsia"/>
                <w:color w:val="000000" w:themeColor="text1"/>
                <w:sz w:val="28"/>
                <w:szCs w:val="28"/>
                <w14:textFill>
                  <w14:solidFill>
                    <w14:schemeClr w14:val="tx1"/>
                  </w14:solidFill>
                </w14:textFill>
              </w:rPr>
              <w:t>邀请</w:t>
            </w:r>
            <w:r>
              <w:rPr>
                <w:color w:val="000000" w:themeColor="text1"/>
                <w:sz w:val="28"/>
                <w:szCs w:val="28"/>
                <w14:textFill>
                  <w14:solidFill>
                    <w14:schemeClr w14:val="tx1"/>
                  </w14:solidFill>
                </w14:textFill>
              </w:rPr>
              <w:t>人</w:t>
            </w:r>
            <w:r>
              <w:rPr>
                <w:rFonts w:hint="eastAsia"/>
                <w:color w:val="000000" w:themeColor="text1"/>
                <w:sz w:val="28"/>
                <w:szCs w:val="28"/>
                <w14:textFill>
                  <w14:solidFill>
                    <w14:schemeClr w14:val="tx1"/>
                  </w14:solidFill>
                </w14:textFill>
              </w:rPr>
              <w:t>等</w:t>
            </w:r>
            <w:r>
              <w:rPr>
                <w:color w:val="000000" w:themeColor="text1"/>
                <w:sz w:val="28"/>
                <w:szCs w:val="28"/>
                <w14:textFill>
                  <w14:solidFill>
                    <w14:schemeClr w14:val="tx1"/>
                  </w14:solidFill>
                </w14:textFill>
              </w:rPr>
              <w:t>的“黑名单”</w:t>
            </w: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665" w:type="dxa"/>
            <w:vAlign w:val="center"/>
          </w:tcPr>
          <w:p>
            <w:pPr>
              <w:pStyle w:val="26"/>
              <w:numPr>
                <w:ilvl w:val="0"/>
                <w:numId w:val="3"/>
              </w:numPr>
              <w:adjustRightInd w:val="0"/>
              <w:snapToGrid w:val="0"/>
              <w:spacing w:line="240" w:lineRule="auto"/>
              <w:ind w:left="120" w:leftChars="50" w:firstLine="0" w:firstLineChars="0"/>
              <w:jc w:val="right"/>
              <w:rPr>
                <w:color w:val="000000" w:themeColor="text1"/>
                <w:sz w:val="28"/>
                <w:szCs w:val="28"/>
                <w14:textFill>
                  <w14:solidFill>
                    <w14:schemeClr w14:val="tx1"/>
                  </w14:solidFill>
                </w14:textFill>
              </w:rPr>
            </w:pPr>
          </w:p>
        </w:tc>
        <w:tc>
          <w:tcPr>
            <w:tcW w:w="5142" w:type="dxa"/>
            <w:vAlign w:val="center"/>
          </w:tcPr>
          <w:p>
            <w:pPr>
              <w:adjustRightInd w:val="0"/>
              <w:snapToGrid w:val="0"/>
              <w:spacing w:line="240" w:lineRule="auto"/>
              <w:rPr>
                <w:color w:val="000000" w:themeColor="text1"/>
                <w:sz w:val="28"/>
                <w:szCs w:val="28"/>
                <w14:textFill>
                  <w14:solidFill>
                    <w14:schemeClr w14:val="tx1"/>
                  </w14:solidFill>
                </w14:textFill>
              </w:rPr>
            </w:pPr>
          </w:p>
        </w:tc>
        <w:tc>
          <w:tcPr>
            <w:tcW w:w="2552" w:type="dxa"/>
            <w:tcBorders>
              <w:righ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c>
          <w:tcPr>
            <w:tcW w:w="985" w:type="dxa"/>
            <w:tcBorders>
              <w:left w:val="single" w:color="auto" w:sz="4" w:space="0"/>
            </w:tcBorders>
            <w:vAlign w:val="center"/>
          </w:tcPr>
          <w:p>
            <w:pPr>
              <w:adjustRightInd w:val="0"/>
              <w:snapToGrid w:val="0"/>
              <w:spacing w:line="240" w:lineRule="auto"/>
              <w:rPr>
                <w:color w:val="000000" w:themeColor="text1"/>
                <w:sz w:val="28"/>
                <w:szCs w:val="28"/>
                <w14:textFill>
                  <w14:solidFill>
                    <w14:schemeClr w14:val="tx1"/>
                  </w14:solidFill>
                </w14:textFill>
              </w:rPr>
            </w:pPr>
          </w:p>
        </w:tc>
      </w:tr>
    </w:tbl>
    <w:p>
      <w:pPr>
        <w:adjustRightInd w:val="0"/>
        <w:snapToGrid w:val="0"/>
        <w:spacing w:line="240" w:lineRule="auto"/>
        <w:ind w:left="843" w:hanging="843" w:hangingChars="300"/>
        <w:rPr>
          <w:b/>
          <w:sz w:val="28"/>
          <w:szCs w:val="28"/>
        </w:rPr>
      </w:pPr>
      <w:r>
        <w:rPr>
          <w:b/>
          <w:sz w:val="28"/>
          <w:szCs w:val="28"/>
        </w:rPr>
        <w:t>说明：</w:t>
      </w:r>
    </w:p>
    <w:p>
      <w:pPr>
        <w:adjustRightInd w:val="0"/>
        <w:snapToGrid w:val="0"/>
        <w:spacing w:line="240" w:lineRule="auto"/>
        <w:rPr>
          <w:b/>
          <w:sz w:val="28"/>
          <w:szCs w:val="28"/>
        </w:rPr>
      </w:pPr>
      <w:r>
        <w:rPr>
          <w:rFonts w:hint="eastAsia"/>
          <w:b/>
          <w:sz w:val="28"/>
          <w:szCs w:val="28"/>
        </w:rPr>
        <w:t>1.响应</w:t>
      </w:r>
      <w:r>
        <w:rPr>
          <w:b/>
          <w:sz w:val="28"/>
          <w:szCs w:val="28"/>
        </w:rPr>
        <w:t>人必须如实填报，否则视为弄虚作假。</w:t>
      </w:r>
      <w:r>
        <w:rPr>
          <w:rFonts w:hint="eastAsia" w:ascii="宋体" w:hAnsi="宋体"/>
          <w:b/>
          <w:sz w:val="28"/>
          <w:szCs w:val="28"/>
        </w:rPr>
        <w:t>若</w:t>
      </w:r>
      <w:r>
        <w:rPr>
          <w:rFonts w:ascii="宋体" w:hAnsi="宋体"/>
          <w:b/>
          <w:sz w:val="28"/>
          <w:szCs w:val="28"/>
        </w:rPr>
        <w:t>选“是”，请在</w:t>
      </w:r>
      <w:r>
        <w:rPr>
          <w:rFonts w:hint="eastAsia" w:ascii="宋体" w:hAnsi="宋体"/>
          <w:b/>
          <w:sz w:val="28"/>
          <w:szCs w:val="28"/>
        </w:rPr>
        <w:t>“</w:t>
      </w:r>
      <w:r>
        <w:rPr>
          <w:rFonts w:ascii="宋体" w:hAnsi="宋体"/>
          <w:b/>
          <w:sz w:val="28"/>
          <w:szCs w:val="28"/>
        </w:rPr>
        <w:t>备注</w:t>
      </w:r>
      <w:r>
        <w:rPr>
          <w:rFonts w:hint="eastAsia" w:ascii="宋体" w:hAnsi="宋体"/>
          <w:b/>
          <w:sz w:val="28"/>
          <w:szCs w:val="28"/>
        </w:rPr>
        <w:t>”</w:t>
      </w:r>
      <w:r>
        <w:rPr>
          <w:rFonts w:ascii="宋体" w:hAnsi="宋体"/>
          <w:b/>
          <w:sz w:val="28"/>
          <w:szCs w:val="28"/>
        </w:rPr>
        <w:t>栏中进</w:t>
      </w:r>
      <w:r>
        <w:rPr>
          <w:b/>
          <w:sz w:val="28"/>
          <w:szCs w:val="28"/>
        </w:rPr>
        <w:t>行</w:t>
      </w:r>
      <w:r>
        <w:rPr>
          <w:rFonts w:hint="eastAsia"/>
          <w:b/>
          <w:sz w:val="28"/>
          <w:szCs w:val="28"/>
        </w:rPr>
        <w:t>详细</w:t>
      </w:r>
      <w:r>
        <w:rPr>
          <w:b/>
          <w:sz w:val="28"/>
          <w:szCs w:val="28"/>
        </w:rPr>
        <w:t>说明。</w:t>
      </w:r>
    </w:p>
    <w:p>
      <w:pPr>
        <w:adjustRightInd w:val="0"/>
        <w:snapToGrid w:val="0"/>
        <w:spacing w:line="240" w:lineRule="auto"/>
        <w:rPr>
          <w:b/>
          <w:color w:val="0000FF"/>
          <w:sz w:val="28"/>
          <w:szCs w:val="28"/>
        </w:rPr>
      </w:pPr>
      <w:r>
        <w:rPr>
          <w:rFonts w:hint="eastAsia"/>
          <w:b/>
          <w:sz w:val="28"/>
          <w:szCs w:val="28"/>
        </w:rPr>
        <w:t>2.竞争性</w:t>
      </w:r>
      <w:r>
        <w:rPr>
          <w:b/>
          <w:sz w:val="28"/>
          <w:szCs w:val="28"/>
        </w:rPr>
        <w:t>选商邀请人、</w:t>
      </w:r>
      <w:r>
        <w:rPr>
          <w:rFonts w:hint="eastAsia"/>
          <w:b/>
          <w:sz w:val="28"/>
          <w:szCs w:val="28"/>
        </w:rPr>
        <w:t>评审</w:t>
      </w:r>
      <w:r>
        <w:rPr>
          <w:b/>
          <w:sz w:val="28"/>
          <w:szCs w:val="28"/>
        </w:rPr>
        <w:t>小组可登陆国家</w:t>
      </w:r>
      <w:r>
        <w:rPr>
          <w:rFonts w:hint="eastAsia"/>
          <w:b/>
          <w:sz w:val="28"/>
          <w:szCs w:val="28"/>
        </w:rPr>
        <w:t>、</w:t>
      </w:r>
      <w:r>
        <w:rPr>
          <w:b/>
          <w:sz w:val="28"/>
          <w:szCs w:val="28"/>
        </w:rPr>
        <w:t>地方政府部门以及中国石化的网站查询，如发现不实填报，将取消其</w:t>
      </w:r>
      <w:r>
        <w:rPr>
          <w:rFonts w:hint="eastAsia"/>
          <w:b/>
          <w:sz w:val="28"/>
          <w:szCs w:val="28"/>
        </w:rPr>
        <w:t>响应</w:t>
      </w:r>
      <w:r>
        <w:rPr>
          <w:b/>
          <w:sz w:val="28"/>
          <w:szCs w:val="28"/>
        </w:rPr>
        <w:t>、</w:t>
      </w:r>
      <w:r>
        <w:rPr>
          <w:rFonts w:hint="eastAsia"/>
          <w:b/>
          <w:sz w:val="28"/>
          <w:szCs w:val="28"/>
        </w:rPr>
        <w:t>成交</w:t>
      </w:r>
      <w:r>
        <w:rPr>
          <w:b/>
          <w:sz w:val="28"/>
          <w:szCs w:val="28"/>
        </w:rPr>
        <w:t>资格。</w:t>
      </w:r>
      <w:r>
        <w:rPr>
          <w:b/>
          <w:color w:val="0000FF"/>
          <w:sz w:val="28"/>
          <w:szCs w:val="28"/>
        </w:rPr>
        <w:br w:type="page"/>
      </w:r>
    </w:p>
    <w:p>
      <w:pPr>
        <w:widowControl/>
        <w:spacing w:line="240" w:lineRule="auto"/>
        <w:jc w:val="left"/>
        <w:rPr>
          <w:b/>
        </w:rPr>
      </w:pPr>
      <w:r>
        <w:rPr>
          <w:b/>
        </w:rPr>
        <w:t>附件6</w:t>
      </w:r>
    </w:p>
    <w:p>
      <w:pPr>
        <w:widowControl/>
        <w:spacing w:line="240" w:lineRule="auto"/>
        <w:jc w:val="left"/>
        <w:rPr>
          <w:b/>
        </w:rPr>
      </w:pPr>
    </w:p>
    <w:p>
      <w:pPr>
        <w:widowControl/>
        <w:shd w:val="clear" w:color="auto" w:fill="FFFFFF"/>
        <w:spacing w:before="150" w:after="100" w:afterAutospacing="1" w:line="310" w:lineRule="atLeast"/>
        <w:jc w:val="center"/>
        <w:outlineLvl w:val="2"/>
        <w:rPr>
          <w:rFonts w:ascii="黑体" w:hAnsi="黑体" w:eastAsia="黑体" w:cs="宋体"/>
          <w:b/>
          <w:bCs/>
          <w:kern w:val="0"/>
          <w:sz w:val="32"/>
          <w:szCs w:val="32"/>
        </w:rPr>
      </w:pPr>
      <w:r>
        <w:rPr>
          <w:rFonts w:hint="eastAsia" w:ascii="黑体" w:hAnsi="黑体" w:eastAsia="黑体" w:cs="宋体"/>
          <w:b/>
          <w:bCs/>
          <w:kern w:val="0"/>
          <w:sz w:val="32"/>
          <w:szCs w:val="32"/>
        </w:rPr>
        <w:t>诚实守信</w:t>
      </w:r>
      <w:r>
        <w:rPr>
          <w:rFonts w:ascii="黑体" w:hAnsi="黑体" w:eastAsia="黑体" w:cs="宋体"/>
          <w:b/>
          <w:bCs/>
          <w:kern w:val="0"/>
          <w:sz w:val="32"/>
          <w:szCs w:val="32"/>
        </w:rPr>
        <w:t>合规承诺书</w:t>
      </w:r>
    </w:p>
    <w:p>
      <w:pPr>
        <w:widowControl/>
        <w:shd w:val="clear" w:color="auto" w:fill="FFFFFF"/>
        <w:spacing w:line="540" w:lineRule="exact"/>
        <w:rPr>
          <w:rFonts w:ascii="楷体_GB2312" w:eastAsia="楷体_GB2312" w:cs="宋体" w:hAnsiTheme="minorEastAsia"/>
          <w:b/>
          <w:bCs/>
          <w:kern w:val="0"/>
          <w:sz w:val="32"/>
          <w:szCs w:val="32"/>
        </w:rPr>
      </w:pPr>
      <w:r>
        <w:rPr>
          <w:rFonts w:hint="eastAsia" w:ascii="楷体_GB2312" w:eastAsia="楷体_GB2312" w:cs="宋体" w:hAnsiTheme="minorEastAsia"/>
          <w:b/>
          <w:bCs/>
          <w:kern w:val="0"/>
          <w:sz w:val="32"/>
          <w:szCs w:val="32"/>
        </w:rPr>
        <w:t>致中国</w:t>
      </w:r>
      <w:r>
        <w:rPr>
          <w:rFonts w:ascii="楷体_GB2312" w:eastAsia="楷体_GB2312" w:cs="宋体" w:hAnsiTheme="minorEastAsia"/>
          <w:b/>
          <w:bCs/>
          <w:kern w:val="0"/>
          <w:sz w:val="32"/>
          <w:szCs w:val="32"/>
        </w:rPr>
        <w:t>石化上海高桥</w:t>
      </w:r>
      <w:r>
        <w:rPr>
          <w:rFonts w:hint="eastAsia" w:ascii="楷体_GB2312" w:eastAsia="楷体_GB2312" w:cs="宋体" w:hAnsiTheme="minorEastAsia"/>
          <w:b/>
          <w:bCs/>
          <w:kern w:val="0"/>
          <w:sz w:val="32"/>
          <w:szCs w:val="32"/>
        </w:rPr>
        <w:t>石油</w:t>
      </w:r>
      <w:r>
        <w:rPr>
          <w:rFonts w:ascii="楷体_GB2312" w:eastAsia="楷体_GB2312" w:cs="宋体" w:hAnsiTheme="minorEastAsia"/>
          <w:b/>
          <w:bCs/>
          <w:kern w:val="0"/>
          <w:sz w:val="32"/>
          <w:szCs w:val="32"/>
        </w:rPr>
        <w:t>化工有限公司</w:t>
      </w:r>
      <w:r>
        <w:rPr>
          <w:rFonts w:hint="eastAsia" w:ascii="楷体_GB2312" w:eastAsia="楷体_GB2312" w:cs="宋体" w:hAnsiTheme="minorEastAsia"/>
          <w:b/>
          <w:bCs/>
          <w:kern w:val="0"/>
          <w:sz w:val="32"/>
          <w:szCs w:val="32"/>
        </w:rPr>
        <w:t>:</w:t>
      </w:r>
    </w:p>
    <w:p>
      <w:pPr>
        <w:widowControl/>
        <w:spacing w:line="540" w:lineRule="exact"/>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本单位系</w:t>
      </w:r>
      <w:r>
        <w:rPr>
          <w:rFonts w:ascii="仿宋_GB2312" w:eastAsia="仿宋_GB2312" w:cs="宋体" w:hAnsiTheme="minorEastAsia"/>
          <w:kern w:val="0"/>
          <w:sz w:val="32"/>
          <w:szCs w:val="32"/>
        </w:rPr>
        <w:t>依法</w:t>
      </w:r>
      <w:r>
        <w:rPr>
          <w:rFonts w:hint="eastAsia" w:ascii="仿宋_GB2312" w:eastAsia="仿宋_GB2312" w:cs="宋体" w:hAnsiTheme="minorEastAsia"/>
          <w:kern w:val="0"/>
          <w:sz w:val="32"/>
          <w:szCs w:val="32"/>
        </w:rPr>
        <w:t>在中华</w:t>
      </w:r>
      <w:r>
        <w:rPr>
          <w:rFonts w:ascii="仿宋_GB2312" w:eastAsia="仿宋_GB2312" w:cs="宋体" w:hAnsiTheme="minorEastAsia"/>
          <w:kern w:val="0"/>
          <w:sz w:val="32"/>
          <w:szCs w:val="32"/>
        </w:rPr>
        <w:t>人民共和国境内成立的</w:t>
      </w:r>
      <w:r>
        <w:rPr>
          <w:rFonts w:hint="eastAsia" w:ascii="仿宋_GB2312" w:eastAsia="仿宋_GB2312" w:cs="宋体" w:hAnsiTheme="minorEastAsia"/>
          <w:kern w:val="0"/>
          <w:sz w:val="32"/>
          <w:szCs w:val="32"/>
        </w:rPr>
        <w:t>法人，</w:t>
      </w:r>
      <w:r>
        <w:rPr>
          <w:rFonts w:ascii="仿宋_GB2312" w:eastAsia="仿宋_GB2312" w:cs="宋体" w:hAnsiTheme="minorEastAsia"/>
          <w:kern w:val="0"/>
          <w:sz w:val="32"/>
          <w:szCs w:val="32"/>
        </w:rPr>
        <w:t>为维护统一开放、公平竞争、规范有序的市场</w:t>
      </w:r>
      <w:r>
        <w:rPr>
          <w:rFonts w:hint="eastAsia" w:ascii="仿宋_GB2312" w:eastAsia="仿宋_GB2312" w:cs="宋体" w:hAnsiTheme="minorEastAsia"/>
          <w:kern w:val="0"/>
          <w:sz w:val="32"/>
          <w:szCs w:val="32"/>
        </w:rPr>
        <w:t>环境</w:t>
      </w:r>
      <w:r>
        <w:rPr>
          <w:rFonts w:ascii="仿宋_GB2312" w:eastAsia="仿宋_GB2312" w:cs="宋体" w:hAnsiTheme="minorEastAsia"/>
          <w:kern w:val="0"/>
          <w:sz w:val="32"/>
          <w:szCs w:val="32"/>
        </w:rPr>
        <w:t>，树立企业</w:t>
      </w:r>
      <w:r>
        <w:rPr>
          <w:rFonts w:hint="eastAsia" w:ascii="仿宋_GB2312" w:eastAsia="仿宋_GB2312" w:cs="宋体" w:hAnsiTheme="minorEastAsia"/>
          <w:kern w:val="0"/>
          <w:sz w:val="32"/>
          <w:szCs w:val="32"/>
        </w:rPr>
        <w:t>依法</w:t>
      </w:r>
      <w:r>
        <w:rPr>
          <w:rFonts w:ascii="仿宋_GB2312" w:eastAsia="仿宋_GB2312" w:cs="宋体" w:hAnsiTheme="minorEastAsia"/>
          <w:kern w:val="0"/>
          <w:sz w:val="32"/>
          <w:szCs w:val="32"/>
        </w:rPr>
        <w:t>合</w:t>
      </w:r>
      <w:r>
        <w:rPr>
          <w:rFonts w:hint="eastAsia" w:ascii="仿宋_GB2312" w:eastAsia="仿宋_GB2312" w:cs="宋体" w:hAnsiTheme="minorEastAsia"/>
          <w:kern w:val="0"/>
          <w:sz w:val="32"/>
          <w:szCs w:val="32"/>
        </w:rPr>
        <w:t>规、</w:t>
      </w:r>
      <w:r>
        <w:rPr>
          <w:rFonts w:ascii="仿宋_GB2312" w:eastAsia="仿宋_GB2312" w:cs="宋体" w:hAnsiTheme="minorEastAsia"/>
          <w:kern w:val="0"/>
          <w:sz w:val="32"/>
          <w:szCs w:val="32"/>
        </w:rPr>
        <w:t>廉洁从业</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诚信经营的良好形象，郑重承诺在参加</w:t>
      </w:r>
      <w:r>
        <w:rPr>
          <w:rFonts w:hint="eastAsia" w:ascii="仿宋_GB2312" w:eastAsia="仿宋_GB2312" w:cs="宋体" w:hAnsiTheme="minorEastAsia"/>
          <w:kern w:val="0"/>
          <w:sz w:val="32"/>
          <w:szCs w:val="32"/>
        </w:rPr>
        <w:t>竞争性</w:t>
      </w:r>
      <w:r>
        <w:rPr>
          <w:rFonts w:ascii="仿宋_GB2312" w:eastAsia="仿宋_GB2312" w:cs="宋体" w:hAnsiTheme="minorEastAsia"/>
          <w:kern w:val="0"/>
          <w:sz w:val="32"/>
          <w:szCs w:val="32"/>
        </w:rPr>
        <w:t>选商活动</w:t>
      </w:r>
      <w:r>
        <w:rPr>
          <w:rFonts w:hint="eastAsia" w:ascii="仿宋_GB2312" w:eastAsia="仿宋_GB2312" w:cs="宋体" w:hAnsiTheme="minorEastAsia"/>
          <w:kern w:val="0"/>
          <w:sz w:val="32"/>
          <w:szCs w:val="32"/>
        </w:rPr>
        <w:t>和</w:t>
      </w:r>
      <w:r>
        <w:rPr>
          <w:rFonts w:ascii="仿宋_GB2312" w:eastAsia="仿宋_GB2312" w:cs="宋体" w:hAnsiTheme="minorEastAsia"/>
          <w:kern w:val="0"/>
          <w:sz w:val="32"/>
          <w:szCs w:val="32"/>
        </w:rPr>
        <w:t>合同</w:t>
      </w:r>
      <w:r>
        <w:rPr>
          <w:rFonts w:hint="eastAsia" w:ascii="仿宋_GB2312" w:eastAsia="仿宋_GB2312" w:cs="宋体" w:hAnsiTheme="minorEastAsia"/>
          <w:kern w:val="0"/>
          <w:sz w:val="32"/>
          <w:szCs w:val="32"/>
        </w:rPr>
        <w:t>签订</w:t>
      </w:r>
      <w:r>
        <w:rPr>
          <w:rFonts w:ascii="仿宋_GB2312" w:eastAsia="仿宋_GB2312" w:cs="宋体" w:hAnsiTheme="minorEastAsia"/>
          <w:kern w:val="0"/>
          <w:sz w:val="32"/>
          <w:szCs w:val="32"/>
        </w:rPr>
        <w:t>、履行期间</w:t>
      </w:r>
      <w:r>
        <w:rPr>
          <w:rFonts w:hint="eastAsia" w:ascii="仿宋_GB2312" w:eastAsia="仿宋_GB2312" w:cs="宋体" w:hAnsiTheme="minorEastAsia"/>
          <w:kern w:val="0"/>
          <w:sz w:val="32"/>
          <w:szCs w:val="32"/>
        </w:rPr>
        <w:t>：</w:t>
      </w:r>
    </w:p>
    <w:p>
      <w:pPr>
        <w:spacing w:line="540" w:lineRule="exact"/>
        <w:ind w:firstLine="640" w:firstLineChars="200"/>
        <w:rPr>
          <w:rFonts w:ascii="仿宋_GB2312" w:eastAsia="仿宋_GB2312" w:hAnsiTheme="minorEastAsia" w:cstheme="minorBidi"/>
          <w:sz w:val="32"/>
          <w:szCs w:val="32"/>
        </w:rPr>
      </w:pPr>
      <w:r>
        <w:rPr>
          <w:rFonts w:hint="eastAsia" w:ascii="仿宋_GB2312" w:eastAsia="仿宋_GB2312" w:cs="宋体" w:hAnsiTheme="minorEastAsia"/>
          <w:bCs/>
          <w:kern w:val="0"/>
          <w:sz w:val="32"/>
          <w:szCs w:val="32"/>
        </w:rPr>
        <w:t>1.本</w:t>
      </w:r>
      <w:r>
        <w:rPr>
          <w:rFonts w:hint="eastAsia" w:ascii="仿宋_GB2312" w:eastAsia="仿宋_GB2312" w:hAnsiTheme="minorEastAsia" w:cstheme="minorBidi"/>
          <w:sz w:val="32"/>
          <w:szCs w:val="32"/>
        </w:rPr>
        <w:t>单位</w:t>
      </w:r>
      <w:r>
        <w:rPr>
          <w:rFonts w:ascii="仿宋_GB2312" w:eastAsia="仿宋_GB2312" w:cs="宋体" w:hAnsiTheme="minorEastAsia"/>
          <w:kern w:val="0"/>
          <w:sz w:val="32"/>
          <w:szCs w:val="32"/>
        </w:rPr>
        <w:t>将严格遵守法律、法规</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相关规定</w:t>
      </w:r>
      <w:r>
        <w:rPr>
          <w:rFonts w:hint="eastAsia" w:ascii="仿宋_GB2312" w:eastAsia="仿宋_GB2312" w:cs="宋体" w:hAnsiTheme="minorEastAsia"/>
          <w:bCs/>
          <w:kern w:val="0"/>
          <w:sz w:val="32"/>
          <w:szCs w:val="32"/>
        </w:rPr>
        <w:t>和</w:t>
      </w:r>
      <w:r>
        <w:rPr>
          <w:rFonts w:ascii="仿宋_GB2312" w:eastAsia="仿宋_GB2312" w:hAnsiTheme="minorEastAsia" w:cstheme="minorBidi"/>
          <w:sz w:val="32"/>
          <w:szCs w:val="32"/>
        </w:rPr>
        <w:t>自觉</w:t>
      </w:r>
      <w:r>
        <w:rPr>
          <w:rFonts w:hint="eastAsia" w:ascii="仿宋_GB2312" w:eastAsia="仿宋_GB2312" w:hAnsiTheme="minorEastAsia" w:cstheme="minorBidi"/>
          <w:sz w:val="32"/>
          <w:szCs w:val="32"/>
        </w:rPr>
        <w:t>遵守行业准则、商业道德，依法诚信合规开展商务合作及交易活动。</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2.本</w:t>
      </w:r>
      <w:r>
        <w:rPr>
          <w:rFonts w:hint="eastAsia" w:ascii="仿宋_GB2312" w:eastAsia="仿宋_GB2312" w:hAnsiTheme="minorEastAsia" w:cstheme="minorBidi"/>
          <w:sz w:val="32"/>
          <w:szCs w:val="32"/>
        </w:rPr>
        <w:t>单位</w:t>
      </w:r>
      <w:r>
        <w:rPr>
          <w:rFonts w:hint="eastAsia" w:ascii="仿宋_GB2312" w:eastAsia="仿宋_GB2312" w:cs="宋体" w:hAnsiTheme="minorEastAsia"/>
          <w:bCs/>
          <w:kern w:val="0"/>
          <w:sz w:val="32"/>
          <w:szCs w:val="32"/>
        </w:rPr>
        <w:t>符合贵司</w:t>
      </w:r>
      <w:r>
        <w:rPr>
          <w:rFonts w:ascii="仿宋_GB2312" w:eastAsia="仿宋_GB2312" w:cs="宋体" w:hAnsiTheme="minorEastAsia"/>
          <w:bCs/>
          <w:kern w:val="0"/>
          <w:sz w:val="32"/>
          <w:szCs w:val="32"/>
        </w:rPr>
        <w:t>本次</w:t>
      </w:r>
      <w:r>
        <w:rPr>
          <w:rFonts w:hint="eastAsia" w:ascii="仿宋_GB2312" w:eastAsia="仿宋_GB2312" w:hAnsiTheme="minorEastAsia" w:cstheme="minorBidi"/>
          <w:sz w:val="32"/>
          <w:szCs w:val="32"/>
        </w:rPr>
        <w:t>竞争性</w:t>
      </w:r>
      <w:r>
        <w:rPr>
          <w:rFonts w:ascii="仿宋_GB2312" w:eastAsia="仿宋_GB2312" w:hAnsiTheme="minorEastAsia" w:cstheme="minorBidi"/>
          <w:sz w:val="32"/>
          <w:szCs w:val="32"/>
        </w:rPr>
        <w:t>选商</w:t>
      </w:r>
      <w:r>
        <w:rPr>
          <w:rFonts w:hint="eastAsia" w:ascii="仿宋_GB2312" w:eastAsia="仿宋_GB2312" w:hAnsiTheme="minorEastAsia" w:cstheme="minorBidi"/>
          <w:sz w:val="32"/>
          <w:szCs w:val="32"/>
        </w:rPr>
        <w:t>业务（</w:t>
      </w:r>
      <w:r>
        <w:rPr>
          <w:rFonts w:ascii="仿宋_GB2312" w:eastAsia="仿宋_GB2312" w:hAnsiTheme="minorEastAsia" w:cstheme="minorBidi"/>
          <w:sz w:val="32"/>
          <w:szCs w:val="32"/>
        </w:rPr>
        <w:t>项目）所</w:t>
      </w:r>
      <w:r>
        <w:rPr>
          <w:rFonts w:hint="eastAsia" w:ascii="仿宋_GB2312" w:eastAsia="仿宋_GB2312" w:hAnsiTheme="minorEastAsia" w:cstheme="minorBidi"/>
          <w:sz w:val="32"/>
          <w:szCs w:val="32"/>
        </w:rPr>
        <w:t>规定</w:t>
      </w:r>
      <w:r>
        <w:rPr>
          <w:rFonts w:ascii="仿宋_GB2312" w:eastAsia="仿宋_GB2312" w:hAnsiTheme="minorEastAsia" w:cstheme="minorBidi"/>
          <w:sz w:val="32"/>
          <w:szCs w:val="32"/>
        </w:rPr>
        <w:t>的</w:t>
      </w:r>
      <w:r>
        <w:rPr>
          <w:rFonts w:hint="eastAsia" w:ascii="仿宋_GB2312" w:eastAsia="仿宋_GB2312" w:hAnsiTheme="minorEastAsia" w:cstheme="minorBidi"/>
          <w:sz w:val="32"/>
          <w:szCs w:val="32"/>
        </w:rPr>
        <w:t>经营范围</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资格、</w:t>
      </w:r>
      <w:r>
        <w:rPr>
          <w:rFonts w:ascii="仿宋_GB2312" w:eastAsia="仿宋_GB2312" w:hAnsiTheme="minorEastAsia" w:cstheme="minorBidi"/>
          <w:sz w:val="32"/>
          <w:szCs w:val="32"/>
        </w:rPr>
        <w:t>资质</w:t>
      </w:r>
      <w:r>
        <w:rPr>
          <w:rFonts w:hint="eastAsia" w:ascii="仿宋_GB2312" w:eastAsia="仿宋_GB2312" w:hAnsiTheme="minorEastAsia" w:cstheme="minorBidi"/>
          <w:sz w:val="32"/>
          <w:szCs w:val="32"/>
        </w:rPr>
        <w:t>、资信和</w:t>
      </w:r>
      <w:r>
        <w:rPr>
          <w:rFonts w:ascii="仿宋_GB2312" w:eastAsia="仿宋_GB2312" w:hAnsiTheme="minorEastAsia" w:cstheme="minorBidi"/>
          <w:sz w:val="32"/>
          <w:szCs w:val="32"/>
        </w:rPr>
        <w:t>履约能力</w:t>
      </w:r>
      <w:r>
        <w:rPr>
          <w:rFonts w:hint="eastAsia" w:ascii="仿宋_GB2312" w:eastAsia="仿宋_GB2312" w:hAnsiTheme="minorEastAsia" w:cstheme="minorBidi"/>
          <w:sz w:val="32"/>
          <w:szCs w:val="32"/>
        </w:rPr>
        <w:t>等各项</w:t>
      </w:r>
      <w:r>
        <w:rPr>
          <w:rFonts w:ascii="仿宋_GB2312" w:eastAsia="仿宋_GB2312" w:hAnsiTheme="minorEastAsia" w:cstheme="minorBidi"/>
          <w:sz w:val="32"/>
          <w:szCs w:val="32"/>
        </w:rPr>
        <w:t>要求</w:t>
      </w:r>
      <w:r>
        <w:rPr>
          <w:rFonts w:hint="eastAsia" w:ascii="仿宋_GB2312" w:eastAsia="仿宋_GB2312" w:hAnsiTheme="minorEastAsia" w:cstheme="minorBidi"/>
          <w:sz w:val="32"/>
          <w:szCs w:val="32"/>
        </w:rPr>
        <w:t>。</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3.本</w:t>
      </w:r>
      <w:r>
        <w:rPr>
          <w:rFonts w:hint="eastAsia" w:ascii="仿宋_GB2312" w:eastAsia="仿宋_GB2312" w:hAnsiTheme="minorEastAsia" w:cstheme="minorBidi"/>
          <w:sz w:val="32"/>
          <w:szCs w:val="32"/>
        </w:rPr>
        <w:t>单位</w:t>
      </w:r>
      <w:r>
        <w:rPr>
          <w:rFonts w:ascii="仿宋_GB2312" w:eastAsia="仿宋_GB2312" w:cs="宋体" w:hAnsiTheme="minorEastAsia"/>
          <w:kern w:val="0"/>
          <w:sz w:val="32"/>
          <w:szCs w:val="32"/>
        </w:rPr>
        <w:t>提交的</w:t>
      </w:r>
      <w:r>
        <w:rPr>
          <w:rFonts w:ascii="仿宋_GB2312" w:eastAsia="仿宋_GB2312" w:hAnsiTheme="minorEastAsia" w:cstheme="minorBidi"/>
          <w:sz w:val="32"/>
          <w:szCs w:val="32"/>
        </w:rPr>
        <w:t>一切材料</w:t>
      </w:r>
      <w:r>
        <w:rPr>
          <w:rFonts w:ascii="仿宋_GB2312" w:eastAsia="仿宋_GB2312" w:cs="宋体" w:hAnsiTheme="minorEastAsia"/>
          <w:kern w:val="0"/>
          <w:sz w:val="32"/>
          <w:szCs w:val="32"/>
        </w:rPr>
        <w:t>均真实</w:t>
      </w:r>
      <w:r>
        <w:rPr>
          <w:rFonts w:hint="eastAsia" w:ascii="仿宋_GB2312" w:eastAsia="仿宋_GB2312" w:cs="宋体" w:hAnsiTheme="minorEastAsia"/>
          <w:kern w:val="0"/>
          <w:sz w:val="32"/>
          <w:szCs w:val="32"/>
        </w:rPr>
        <w:t>、</w:t>
      </w:r>
      <w:r>
        <w:rPr>
          <w:rFonts w:ascii="仿宋_GB2312" w:eastAsia="仿宋_GB2312" w:hAnsiTheme="minorEastAsia" w:cstheme="minorBidi"/>
          <w:sz w:val="32"/>
          <w:szCs w:val="32"/>
        </w:rPr>
        <w:t>准确、完整</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合法</w:t>
      </w:r>
      <w:r>
        <w:rPr>
          <w:rFonts w:hint="eastAsia" w:ascii="仿宋_GB2312" w:eastAsia="仿宋_GB2312" w:hAnsiTheme="minorEastAsia" w:cstheme="minorBidi"/>
          <w:sz w:val="32"/>
          <w:szCs w:val="32"/>
        </w:rPr>
        <w:t>、</w:t>
      </w:r>
      <w:r>
        <w:rPr>
          <w:rFonts w:ascii="仿宋_GB2312" w:eastAsia="仿宋_GB2312" w:cs="宋体" w:hAnsiTheme="minorEastAsia"/>
          <w:kern w:val="0"/>
          <w:sz w:val="32"/>
          <w:szCs w:val="32"/>
        </w:rPr>
        <w:t>有效，提交的</w:t>
      </w:r>
      <w:r>
        <w:rPr>
          <w:rFonts w:hint="eastAsia" w:ascii="仿宋_GB2312" w:eastAsia="仿宋_GB2312" w:cs="宋体" w:hAnsiTheme="minorEastAsia"/>
          <w:bCs/>
          <w:kern w:val="0"/>
          <w:sz w:val="32"/>
          <w:szCs w:val="32"/>
        </w:rPr>
        <w:t>证照、证书</w:t>
      </w:r>
      <w:r>
        <w:rPr>
          <w:rFonts w:ascii="仿宋_GB2312" w:eastAsia="仿宋_GB2312" w:cs="宋体" w:hAnsiTheme="minorEastAsia"/>
          <w:bCs/>
          <w:kern w:val="0"/>
          <w:sz w:val="32"/>
          <w:szCs w:val="32"/>
        </w:rPr>
        <w:t>、</w:t>
      </w:r>
      <w:r>
        <w:rPr>
          <w:rFonts w:hint="eastAsia" w:ascii="仿宋_GB2312" w:eastAsia="仿宋_GB2312" w:cs="宋体" w:hAnsiTheme="minorEastAsia"/>
          <w:bCs/>
          <w:kern w:val="0"/>
          <w:sz w:val="32"/>
          <w:szCs w:val="32"/>
        </w:rPr>
        <w:t>证件、证明、业绩等</w:t>
      </w:r>
      <w:r>
        <w:rPr>
          <w:rFonts w:ascii="仿宋_GB2312" w:eastAsia="仿宋_GB2312" w:cs="宋体" w:hAnsiTheme="minorEastAsia"/>
          <w:kern w:val="0"/>
          <w:sz w:val="32"/>
          <w:szCs w:val="32"/>
        </w:rPr>
        <w:t>资料及其数据</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信息无任何伪造、</w:t>
      </w:r>
      <w:r>
        <w:rPr>
          <w:rFonts w:hint="eastAsia" w:ascii="仿宋_GB2312" w:eastAsia="仿宋_GB2312" w:cs="宋体" w:hAnsiTheme="minorEastAsia"/>
          <w:kern w:val="0"/>
          <w:sz w:val="32"/>
          <w:szCs w:val="32"/>
        </w:rPr>
        <w:t>涂改</w:t>
      </w:r>
      <w:r>
        <w:rPr>
          <w:rFonts w:ascii="仿宋_GB2312" w:eastAsia="仿宋_GB2312" w:cs="宋体" w:hAnsiTheme="minorEastAsia"/>
          <w:kern w:val="0"/>
          <w:sz w:val="32"/>
          <w:szCs w:val="32"/>
        </w:rPr>
        <w:t>、虚假成份。</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ascii="仿宋_GB2312" w:eastAsia="仿宋_GB2312" w:cs="宋体" w:hAnsiTheme="minorEastAsia"/>
          <w:bCs/>
          <w:kern w:val="0"/>
          <w:sz w:val="32"/>
          <w:szCs w:val="32"/>
        </w:rPr>
        <w:t xml:space="preserve">4. </w:t>
      </w:r>
      <w:r>
        <w:rPr>
          <w:rFonts w:hint="eastAsia" w:ascii="仿宋_GB2312" w:eastAsia="仿宋_GB2312" w:cs="宋体" w:hAnsiTheme="minorEastAsia"/>
          <w:bCs/>
          <w:kern w:val="0"/>
          <w:sz w:val="32"/>
          <w:szCs w:val="32"/>
        </w:rPr>
        <w:t>本</w:t>
      </w:r>
      <w:r>
        <w:rPr>
          <w:rFonts w:hint="eastAsia" w:ascii="仿宋_GB2312" w:eastAsia="仿宋_GB2312" w:hAnsiTheme="minorEastAsia" w:cstheme="minorBidi"/>
          <w:sz w:val="32"/>
          <w:szCs w:val="32"/>
        </w:rPr>
        <w:t>单位</w:t>
      </w:r>
      <w:r>
        <w:rPr>
          <w:rFonts w:hint="eastAsia" w:ascii="仿宋_GB2312" w:eastAsia="仿宋_GB2312" w:cs="宋体" w:hAnsiTheme="minorEastAsia"/>
          <w:kern w:val="0"/>
          <w:sz w:val="32"/>
          <w:szCs w:val="32"/>
        </w:rPr>
        <w:t>严格执行廉洁从业有关规定，不</w:t>
      </w:r>
      <w:r>
        <w:rPr>
          <w:rFonts w:ascii="仿宋_GB2312" w:eastAsia="仿宋_GB2312" w:cs="宋体" w:hAnsiTheme="minorEastAsia"/>
          <w:kern w:val="0"/>
          <w:sz w:val="32"/>
          <w:szCs w:val="32"/>
        </w:rPr>
        <w:t>从事与本交易有关的商业贿赂、利益输送</w:t>
      </w:r>
      <w:r>
        <w:rPr>
          <w:rFonts w:hint="eastAsia" w:ascii="仿宋_GB2312" w:eastAsia="仿宋_GB2312" w:cs="宋体" w:hAnsiTheme="minorEastAsia"/>
          <w:kern w:val="0"/>
          <w:sz w:val="32"/>
          <w:szCs w:val="32"/>
        </w:rPr>
        <w:t>等非法手段</w:t>
      </w:r>
      <w:r>
        <w:rPr>
          <w:rFonts w:ascii="仿宋_GB2312" w:eastAsia="仿宋_GB2312" w:cs="宋体" w:hAnsiTheme="minorEastAsia"/>
          <w:kern w:val="0"/>
          <w:sz w:val="32"/>
          <w:szCs w:val="32"/>
        </w:rPr>
        <w:t>及不正当竞争</w:t>
      </w:r>
      <w:r>
        <w:rPr>
          <w:rFonts w:hint="eastAsia" w:ascii="仿宋_GB2312" w:eastAsia="仿宋_GB2312" w:cs="宋体" w:hAnsiTheme="minorEastAsia"/>
          <w:kern w:val="0"/>
          <w:sz w:val="32"/>
          <w:szCs w:val="32"/>
        </w:rPr>
        <w:t>等违纪违法</w:t>
      </w:r>
      <w:r>
        <w:rPr>
          <w:rFonts w:ascii="仿宋_GB2312" w:eastAsia="仿宋_GB2312" w:cs="宋体" w:hAnsiTheme="minorEastAsia"/>
          <w:kern w:val="0"/>
          <w:sz w:val="32"/>
          <w:szCs w:val="32"/>
        </w:rPr>
        <w:t>行为</w:t>
      </w:r>
      <w:r>
        <w:rPr>
          <w:rFonts w:hint="eastAsia" w:ascii="仿宋_GB2312" w:eastAsia="仿宋_GB2312" w:cs="宋体" w:hAnsiTheme="minorEastAsia"/>
          <w:kern w:val="0"/>
          <w:sz w:val="32"/>
          <w:szCs w:val="32"/>
        </w:rPr>
        <w:t>。</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5. 本</w:t>
      </w:r>
      <w:r>
        <w:rPr>
          <w:rFonts w:hint="eastAsia" w:ascii="仿宋_GB2312" w:eastAsia="仿宋_GB2312" w:hAnsiTheme="minorEastAsia" w:cstheme="minorBidi"/>
          <w:sz w:val="32"/>
          <w:szCs w:val="32"/>
        </w:rPr>
        <w:t>单位</w:t>
      </w:r>
      <w:r>
        <w:rPr>
          <w:rFonts w:ascii="仿宋_GB2312" w:eastAsia="仿宋_GB2312" w:cs="宋体" w:hAnsiTheme="minorEastAsia"/>
          <w:bCs/>
          <w:kern w:val="0"/>
          <w:sz w:val="32"/>
          <w:szCs w:val="32"/>
        </w:rPr>
        <w:t>按规定的数额及时足额交纳农民工工资</w:t>
      </w:r>
      <w:r>
        <w:rPr>
          <w:rFonts w:hint="eastAsia" w:ascii="仿宋_GB2312" w:eastAsia="仿宋_GB2312" w:cs="宋体" w:hAnsiTheme="minorEastAsia"/>
          <w:bCs/>
          <w:kern w:val="0"/>
          <w:sz w:val="32"/>
          <w:szCs w:val="32"/>
        </w:rPr>
        <w:t>保障</w:t>
      </w:r>
      <w:r>
        <w:rPr>
          <w:rFonts w:ascii="仿宋_GB2312" w:eastAsia="仿宋_GB2312" w:cs="宋体" w:hAnsiTheme="minorEastAsia"/>
          <w:bCs/>
          <w:kern w:val="0"/>
          <w:sz w:val="32"/>
          <w:szCs w:val="32"/>
        </w:rPr>
        <w:t>金</w:t>
      </w:r>
      <w:r>
        <w:rPr>
          <w:rFonts w:hint="eastAsia" w:ascii="仿宋_GB2312" w:eastAsia="仿宋_GB2312" w:cs="宋体" w:hAnsiTheme="minorEastAsia"/>
          <w:bCs/>
          <w:kern w:val="0"/>
          <w:sz w:val="32"/>
          <w:szCs w:val="32"/>
        </w:rPr>
        <w:t>，</w:t>
      </w:r>
      <w:r>
        <w:rPr>
          <w:rFonts w:ascii="仿宋_GB2312" w:eastAsia="仿宋_GB2312" w:cs="宋体" w:hAnsiTheme="minorEastAsia"/>
          <w:bCs/>
          <w:kern w:val="0"/>
          <w:sz w:val="32"/>
          <w:szCs w:val="32"/>
        </w:rPr>
        <w:t>不拖欠、克扣农民工及其他职工工资。</w:t>
      </w:r>
    </w:p>
    <w:p>
      <w:pPr>
        <w:widowControl/>
        <w:shd w:val="clear" w:color="auto" w:fill="FFFFFF"/>
        <w:spacing w:line="540" w:lineRule="exact"/>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6. 本</w:t>
      </w:r>
      <w:r>
        <w:rPr>
          <w:rFonts w:hint="eastAsia" w:ascii="仿宋_GB2312" w:eastAsia="仿宋_GB2312" w:hAnsiTheme="minorEastAsia" w:cstheme="minorBidi"/>
          <w:sz w:val="32"/>
          <w:szCs w:val="32"/>
        </w:rPr>
        <w:t>单位</w:t>
      </w:r>
      <w:r>
        <w:rPr>
          <w:rFonts w:ascii="仿宋_GB2312" w:eastAsia="仿宋_GB2312" w:cs="宋体" w:hAnsiTheme="minorEastAsia"/>
          <w:bCs/>
          <w:kern w:val="0"/>
          <w:sz w:val="32"/>
          <w:szCs w:val="32"/>
        </w:rPr>
        <w:t>不</w:t>
      </w:r>
      <w:r>
        <w:rPr>
          <w:rFonts w:hint="eastAsia" w:ascii="仿宋_GB2312" w:eastAsia="仿宋_GB2312" w:cs="宋体" w:hAnsiTheme="minorEastAsia"/>
          <w:bCs/>
          <w:kern w:val="0"/>
          <w:sz w:val="32"/>
          <w:szCs w:val="32"/>
        </w:rPr>
        <w:t>采用</w:t>
      </w:r>
      <w:r>
        <w:rPr>
          <w:rFonts w:ascii="仿宋_GB2312" w:eastAsia="仿宋_GB2312" w:cs="宋体" w:hAnsiTheme="minorEastAsia"/>
          <w:bCs/>
          <w:kern w:val="0"/>
          <w:sz w:val="32"/>
          <w:szCs w:val="32"/>
        </w:rPr>
        <w:t>虚假</w:t>
      </w:r>
      <w:r>
        <w:rPr>
          <w:rFonts w:hint="eastAsia" w:ascii="仿宋_GB2312" w:eastAsia="仿宋_GB2312" w:cs="宋体" w:hAnsiTheme="minorEastAsia"/>
          <w:bCs/>
          <w:kern w:val="0"/>
          <w:sz w:val="32"/>
          <w:szCs w:val="32"/>
        </w:rPr>
        <w:t>、</w:t>
      </w:r>
      <w:r>
        <w:rPr>
          <w:rFonts w:ascii="仿宋_GB2312" w:eastAsia="仿宋_GB2312" w:cs="宋体" w:hAnsiTheme="minorEastAsia"/>
          <w:bCs/>
          <w:kern w:val="0"/>
          <w:sz w:val="32"/>
          <w:szCs w:val="32"/>
        </w:rPr>
        <w:t>恶意投诉</w:t>
      </w:r>
      <w:r>
        <w:rPr>
          <w:rFonts w:hint="eastAsia" w:ascii="仿宋_GB2312" w:eastAsia="仿宋_GB2312" w:cs="宋体" w:hAnsiTheme="minorEastAsia"/>
          <w:bCs/>
          <w:kern w:val="0"/>
          <w:sz w:val="32"/>
          <w:szCs w:val="32"/>
        </w:rPr>
        <w:t>等拙劣伎俩来推翻</w:t>
      </w:r>
      <w:r>
        <w:rPr>
          <w:rFonts w:ascii="仿宋_GB2312" w:eastAsia="仿宋_GB2312" w:cs="宋体" w:hAnsiTheme="minorEastAsia"/>
          <w:bCs/>
          <w:kern w:val="0"/>
          <w:sz w:val="32"/>
          <w:szCs w:val="32"/>
        </w:rPr>
        <w:t>、改变</w:t>
      </w:r>
      <w:r>
        <w:rPr>
          <w:rFonts w:hint="eastAsia" w:ascii="仿宋_GB2312" w:eastAsia="仿宋_GB2312" w:cs="宋体" w:hAnsiTheme="minorEastAsia"/>
          <w:bCs/>
          <w:kern w:val="0"/>
          <w:sz w:val="32"/>
          <w:szCs w:val="32"/>
        </w:rPr>
        <w:t>正常</w:t>
      </w:r>
      <w:r>
        <w:rPr>
          <w:rFonts w:ascii="仿宋_GB2312" w:eastAsia="仿宋_GB2312" w:cs="宋体" w:hAnsiTheme="minorEastAsia"/>
          <w:bCs/>
          <w:kern w:val="0"/>
          <w:sz w:val="32"/>
          <w:szCs w:val="32"/>
        </w:rPr>
        <w:t>的竞争</w:t>
      </w:r>
      <w:r>
        <w:rPr>
          <w:rFonts w:hint="eastAsia" w:ascii="仿宋_GB2312" w:eastAsia="仿宋_GB2312" w:cs="宋体" w:hAnsiTheme="minorEastAsia"/>
          <w:bCs/>
          <w:kern w:val="0"/>
          <w:sz w:val="32"/>
          <w:szCs w:val="32"/>
        </w:rPr>
        <w:t>性</w:t>
      </w:r>
      <w:r>
        <w:rPr>
          <w:rFonts w:ascii="仿宋_GB2312" w:eastAsia="仿宋_GB2312" w:cs="宋体" w:hAnsiTheme="minorEastAsia"/>
          <w:bCs/>
          <w:kern w:val="0"/>
          <w:sz w:val="32"/>
          <w:szCs w:val="32"/>
        </w:rPr>
        <w:t>选商结果。</w:t>
      </w:r>
    </w:p>
    <w:p>
      <w:pPr>
        <w:widowControl/>
        <w:shd w:val="clear" w:color="auto" w:fill="FFFFFF"/>
        <w:spacing w:line="540" w:lineRule="exact"/>
        <w:ind w:firstLine="640" w:firstLineChars="200"/>
        <w:rPr>
          <w:rFonts w:cs="宋体" w:asciiTheme="minorEastAsia" w:hAnsiTheme="minorEastAsia" w:eastAsiaTheme="minorEastAsia"/>
          <w:color w:val="000000"/>
          <w:kern w:val="0"/>
          <w:sz w:val="28"/>
          <w:szCs w:val="28"/>
        </w:rPr>
      </w:pPr>
      <w:r>
        <w:rPr>
          <w:rFonts w:hint="eastAsia" w:ascii="仿宋_GB2312" w:eastAsia="仿宋_GB2312" w:cs="宋体" w:hAnsiTheme="minorEastAsia"/>
          <w:bCs/>
          <w:kern w:val="0"/>
          <w:sz w:val="32"/>
          <w:szCs w:val="32"/>
        </w:rPr>
        <w:t>7. 本</w:t>
      </w:r>
      <w:r>
        <w:rPr>
          <w:rFonts w:hint="eastAsia" w:ascii="仿宋_GB2312" w:eastAsia="仿宋_GB2312" w:hAnsiTheme="minorEastAsia" w:cstheme="minorBidi"/>
          <w:sz w:val="32"/>
          <w:szCs w:val="32"/>
        </w:rPr>
        <w:t>单位遵守信</w:t>
      </w:r>
      <w:r>
        <w:rPr>
          <w:rFonts w:ascii="仿宋_GB2312" w:eastAsia="仿宋_GB2312" w:hAnsiTheme="minorEastAsia" w:cstheme="minorBidi"/>
          <w:sz w:val="32"/>
          <w:szCs w:val="32"/>
        </w:rPr>
        <w:t>用，若</w:t>
      </w:r>
      <w:r>
        <w:rPr>
          <w:rFonts w:hint="eastAsia" w:ascii="仿宋_GB2312" w:eastAsia="仿宋_GB2312" w:hAnsiTheme="minorEastAsia" w:cstheme="minorBidi"/>
          <w:sz w:val="32"/>
          <w:szCs w:val="32"/>
        </w:rPr>
        <w:t>成交</w:t>
      </w:r>
      <w:r>
        <w:rPr>
          <w:rFonts w:ascii="仿宋_GB2312" w:eastAsia="仿宋_GB2312" w:hAnsiTheme="minorEastAsia" w:cstheme="minorBidi"/>
          <w:sz w:val="32"/>
          <w:szCs w:val="32"/>
        </w:rPr>
        <w:t>，将严格按照</w:t>
      </w:r>
      <w:r>
        <w:rPr>
          <w:rFonts w:hint="eastAsia" w:ascii="仿宋_GB2312" w:eastAsia="仿宋_GB2312" w:hAnsiTheme="minorEastAsia" w:cstheme="minorBidi"/>
          <w:sz w:val="32"/>
          <w:szCs w:val="32"/>
        </w:rPr>
        <w:t>贵司</w:t>
      </w:r>
      <w:r>
        <w:rPr>
          <w:rFonts w:ascii="仿宋_GB2312" w:eastAsia="仿宋_GB2312" w:hAnsiTheme="minorEastAsia" w:cstheme="minorBidi"/>
          <w:sz w:val="32"/>
          <w:szCs w:val="32"/>
        </w:rPr>
        <w:t>成交通知书</w:t>
      </w:r>
      <w:r>
        <w:rPr>
          <w:rFonts w:hint="eastAsia" w:ascii="仿宋_GB2312" w:eastAsia="仿宋_GB2312" w:hAnsiTheme="minorEastAsia" w:cstheme="minorBidi"/>
          <w:sz w:val="32"/>
          <w:szCs w:val="32"/>
        </w:rPr>
        <w:t>和本</w:t>
      </w:r>
      <w:r>
        <w:rPr>
          <w:rFonts w:ascii="仿宋_GB2312" w:eastAsia="仿宋_GB2312" w:hAnsiTheme="minorEastAsia" w:cstheme="minorBidi"/>
          <w:sz w:val="32"/>
          <w:szCs w:val="32"/>
        </w:rPr>
        <w:t>企业响应文件</w:t>
      </w:r>
      <w:r>
        <w:rPr>
          <w:rFonts w:hint="eastAsia" w:ascii="仿宋_GB2312" w:eastAsia="仿宋_GB2312" w:hAnsiTheme="minorEastAsia" w:cstheme="minorBidi"/>
          <w:sz w:val="32"/>
          <w:szCs w:val="32"/>
        </w:rPr>
        <w:t>的</w:t>
      </w:r>
      <w:r>
        <w:rPr>
          <w:rFonts w:ascii="仿宋_GB2312" w:eastAsia="仿宋_GB2312" w:hAnsiTheme="minorEastAsia" w:cstheme="minorBidi"/>
          <w:sz w:val="32"/>
          <w:szCs w:val="32"/>
        </w:rPr>
        <w:t>价格</w:t>
      </w:r>
      <w:r>
        <w:rPr>
          <w:rFonts w:hint="eastAsia" w:ascii="仿宋_GB2312" w:eastAsia="仿宋_GB2312" w:hAnsiTheme="minorEastAsia" w:cstheme="minorBidi"/>
          <w:sz w:val="32"/>
          <w:szCs w:val="32"/>
        </w:rPr>
        <w:t>、技术</w:t>
      </w:r>
      <w:r>
        <w:rPr>
          <w:rFonts w:ascii="仿宋_GB2312" w:eastAsia="仿宋_GB2312" w:hAnsiTheme="minorEastAsia" w:cstheme="minorBidi"/>
          <w:sz w:val="32"/>
          <w:szCs w:val="32"/>
        </w:rPr>
        <w:t>、质量</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工期、</w:t>
      </w:r>
      <w:r>
        <w:rPr>
          <w:rFonts w:hint="eastAsia" w:ascii="仿宋_GB2312" w:eastAsia="仿宋_GB2312" w:hAnsiTheme="minorEastAsia" w:cstheme="minorBidi"/>
          <w:sz w:val="32"/>
          <w:szCs w:val="32"/>
        </w:rPr>
        <w:t>服务</w:t>
      </w:r>
      <w:r>
        <w:rPr>
          <w:rFonts w:ascii="仿宋_GB2312" w:eastAsia="仿宋_GB2312" w:hAnsiTheme="minorEastAsia" w:cstheme="minorBidi"/>
          <w:sz w:val="32"/>
          <w:szCs w:val="32"/>
        </w:rPr>
        <w:t>等内容及时签订</w:t>
      </w:r>
      <w:r>
        <w:rPr>
          <w:rFonts w:hint="eastAsia" w:ascii="仿宋_GB2312" w:eastAsia="仿宋_GB2312" w:hAnsiTheme="minorEastAsia" w:cstheme="minorBidi"/>
          <w:sz w:val="32"/>
          <w:szCs w:val="32"/>
        </w:rPr>
        <w:t>书面</w:t>
      </w:r>
      <w:r>
        <w:rPr>
          <w:rFonts w:ascii="仿宋_GB2312" w:eastAsia="仿宋_GB2312" w:hAnsiTheme="minorEastAsia" w:cstheme="minorBidi"/>
          <w:sz w:val="32"/>
          <w:szCs w:val="32"/>
        </w:rPr>
        <w:t>合同</w:t>
      </w:r>
      <w:r>
        <w:rPr>
          <w:rFonts w:hint="eastAsia" w:ascii="仿宋_GB2312" w:eastAsia="仿宋_GB2312" w:hAnsiTheme="minorEastAsia" w:cstheme="minorBidi"/>
          <w:sz w:val="32"/>
          <w:szCs w:val="32"/>
        </w:rPr>
        <w:t>，</w:t>
      </w:r>
      <w:r>
        <w:rPr>
          <w:rFonts w:ascii="仿宋_GB2312" w:eastAsia="仿宋_GB2312" w:hAnsiTheme="minorEastAsia" w:cstheme="minorBidi"/>
          <w:sz w:val="32"/>
          <w:szCs w:val="32"/>
        </w:rPr>
        <w:t>并按照合同约定</w:t>
      </w:r>
      <w:r>
        <w:rPr>
          <w:rFonts w:hint="eastAsia" w:ascii="仿宋_GB2312" w:eastAsia="仿宋_GB2312" w:hAnsiTheme="minorEastAsia" w:cstheme="minorBidi"/>
          <w:sz w:val="32"/>
          <w:szCs w:val="32"/>
        </w:rPr>
        <w:t>全面履行义务，不非法转包和</w:t>
      </w:r>
      <w:r>
        <w:rPr>
          <w:rFonts w:ascii="仿宋_GB2312" w:eastAsia="仿宋_GB2312" w:hAnsiTheme="minorEastAsia" w:cstheme="minorBidi"/>
          <w:sz w:val="32"/>
          <w:szCs w:val="32"/>
        </w:rPr>
        <w:t>擅自分包</w:t>
      </w:r>
      <w:r>
        <w:rPr>
          <w:rFonts w:hint="eastAsia" w:ascii="仿宋_GB2312" w:eastAsia="仿宋_GB2312" w:hAnsiTheme="minorEastAsia" w:cstheme="minorBidi"/>
          <w:sz w:val="32"/>
          <w:szCs w:val="32"/>
        </w:rPr>
        <w:t>。</w:t>
      </w:r>
    </w:p>
    <w:p>
      <w:pPr>
        <w:widowControl/>
        <w:spacing w:line="540" w:lineRule="exact"/>
        <w:ind w:firstLine="640" w:firstLineChars="200"/>
        <w:rPr>
          <w:rFonts w:ascii="仿宋_GB2312" w:eastAsia="仿宋_GB2312" w:hAnsiTheme="minorEastAsia" w:cstheme="minorBidi"/>
          <w:sz w:val="32"/>
          <w:szCs w:val="32"/>
        </w:rPr>
      </w:pPr>
      <w:r>
        <w:rPr>
          <w:rFonts w:hint="eastAsia" w:ascii="仿宋_GB2312" w:eastAsia="仿宋_GB2312" w:cs="宋体" w:hAnsiTheme="minorEastAsia"/>
          <w:bCs/>
          <w:kern w:val="0"/>
          <w:sz w:val="32"/>
          <w:szCs w:val="32"/>
        </w:rPr>
        <w:t>8.本</w:t>
      </w:r>
      <w:r>
        <w:rPr>
          <w:rFonts w:hint="eastAsia" w:ascii="仿宋_GB2312" w:eastAsia="仿宋_GB2312" w:cs="宋体" w:hAnsiTheme="minorEastAsia"/>
          <w:kern w:val="0"/>
          <w:sz w:val="32"/>
          <w:szCs w:val="32"/>
        </w:rPr>
        <w:t>单位</w:t>
      </w:r>
      <w:r>
        <w:rPr>
          <w:rFonts w:hint="eastAsia" w:ascii="仿宋_GB2312" w:eastAsia="仿宋_GB2312" w:hAnsiTheme="minorEastAsia" w:cstheme="minorBidi"/>
          <w:sz w:val="32"/>
          <w:szCs w:val="32"/>
        </w:rPr>
        <w:t>若违反以上承诺或在本业务</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项目）竞争性选商(或签订</w:t>
      </w:r>
      <w:r>
        <w:rPr>
          <w:rFonts w:ascii="仿宋_GB2312" w:eastAsia="仿宋_GB2312" w:hAnsiTheme="minorEastAsia" w:cstheme="minorBidi"/>
          <w:sz w:val="32"/>
          <w:szCs w:val="32"/>
        </w:rPr>
        <w:t>、</w:t>
      </w:r>
      <w:r>
        <w:rPr>
          <w:rFonts w:hint="eastAsia" w:ascii="仿宋_GB2312" w:eastAsia="仿宋_GB2312" w:hAnsiTheme="minorEastAsia" w:cstheme="minorBidi"/>
          <w:sz w:val="32"/>
          <w:szCs w:val="32"/>
        </w:rPr>
        <w:t>履行合同期间)出现其他违约、违法等重大过失行为，除按竞争性选商文件、合同及法律法规</w:t>
      </w:r>
      <w:r>
        <w:rPr>
          <w:rFonts w:ascii="仿宋_GB2312" w:eastAsia="仿宋_GB2312" w:hAnsiTheme="minorEastAsia" w:cstheme="minorBidi"/>
          <w:sz w:val="32"/>
          <w:szCs w:val="32"/>
        </w:rPr>
        <w:t>承担由此造成的一切法律责任</w:t>
      </w:r>
      <w:r>
        <w:rPr>
          <w:rFonts w:hint="eastAsia" w:ascii="仿宋_GB2312" w:eastAsia="仿宋_GB2312" w:hAnsiTheme="minorEastAsia" w:cstheme="minorBidi"/>
          <w:sz w:val="32"/>
          <w:szCs w:val="32"/>
        </w:rPr>
        <w:t>和</w:t>
      </w:r>
      <w:r>
        <w:rPr>
          <w:rFonts w:ascii="仿宋_GB2312" w:eastAsia="仿宋_GB2312" w:hAnsiTheme="minorEastAsia" w:cstheme="minorBidi"/>
          <w:sz w:val="32"/>
          <w:szCs w:val="32"/>
        </w:rPr>
        <w:t>不良后果</w:t>
      </w:r>
      <w:r>
        <w:rPr>
          <w:rFonts w:hint="eastAsia" w:ascii="仿宋_GB2312" w:eastAsia="仿宋_GB2312" w:hAnsiTheme="minorEastAsia" w:cstheme="minorBidi"/>
          <w:sz w:val="32"/>
          <w:szCs w:val="32"/>
        </w:rPr>
        <w:t>外</w:t>
      </w:r>
      <w:r>
        <w:rPr>
          <w:rFonts w:ascii="仿宋_GB2312" w:eastAsia="仿宋_GB2312" w:hAnsiTheme="minorEastAsia" w:cstheme="minorBidi"/>
          <w:sz w:val="32"/>
          <w:szCs w:val="32"/>
        </w:rPr>
        <w:t>，自愿放弃</w:t>
      </w:r>
      <w:r>
        <w:rPr>
          <w:rFonts w:hint="eastAsia" w:ascii="仿宋_GB2312" w:eastAsia="仿宋_GB2312" w:hAnsiTheme="minorEastAsia" w:cstheme="minorBidi"/>
          <w:sz w:val="32"/>
          <w:szCs w:val="32"/>
        </w:rPr>
        <w:t>成交和</w:t>
      </w:r>
      <w:r>
        <w:rPr>
          <w:rFonts w:ascii="仿宋_GB2312" w:eastAsia="仿宋_GB2312" w:hAnsiTheme="minorEastAsia" w:cstheme="minorBidi"/>
          <w:sz w:val="32"/>
          <w:szCs w:val="32"/>
        </w:rPr>
        <w:t>签约</w:t>
      </w:r>
      <w:r>
        <w:rPr>
          <w:rFonts w:hint="eastAsia" w:ascii="仿宋_GB2312" w:eastAsia="仿宋_GB2312" w:hAnsiTheme="minorEastAsia" w:cstheme="minorBidi"/>
          <w:sz w:val="32"/>
          <w:szCs w:val="32"/>
        </w:rPr>
        <w:t>，自</w:t>
      </w:r>
      <w:r>
        <w:rPr>
          <w:rFonts w:ascii="仿宋_GB2312" w:eastAsia="仿宋_GB2312" w:hAnsiTheme="minorEastAsia" w:cstheme="minorBidi"/>
          <w:sz w:val="32"/>
          <w:szCs w:val="32"/>
        </w:rPr>
        <w:t>愿接受</w:t>
      </w:r>
      <w:r>
        <w:rPr>
          <w:rFonts w:hint="eastAsia" w:ascii="仿宋_GB2312" w:eastAsia="仿宋_GB2312" w:hAnsiTheme="minorEastAsia" w:cstheme="minorBidi"/>
          <w:sz w:val="32"/>
          <w:szCs w:val="32"/>
        </w:rPr>
        <w:t>邀请人及其</w:t>
      </w:r>
      <w:r>
        <w:rPr>
          <w:rFonts w:ascii="仿宋_GB2312" w:eastAsia="仿宋_GB2312" w:hAnsiTheme="minorEastAsia" w:cstheme="minorBidi"/>
          <w:sz w:val="32"/>
          <w:szCs w:val="32"/>
        </w:rPr>
        <w:t>总部</w:t>
      </w:r>
      <w:r>
        <w:rPr>
          <w:rFonts w:hint="eastAsia" w:ascii="仿宋_GB2312" w:eastAsia="仿宋_GB2312" w:hAnsiTheme="minorEastAsia" w:cstheme="minorBidi"/>
          <w:sz w:val="32"/>
          <w:szCs w:val="32"/>
        </w:rPr>
        <w:t>的诚信</w:t>
      </w:r>
      <w:r>
        <w:rPr>
          <w:rFonts w:ascii="仿宋_GB2312" w:eastAsia="仿宋_GB2312" w:hAnsiTheme="minorEastAsia" w:cstheme="minorBidi"/>
          <w:sz w:val="32"/>
          <w:szCs w:val="32"/>
        </w:rPr>
        <w:t>合规</w:t>
      </w:r>
      <w:r>
        <w:rPr>
          <w:rFonts w:hint="eastAsia" w:ascii="仿宋_GB2312" w:eastAsia="仿宋_GB2312" w:hAnsiTheme="minorEastAsia" w:cstheme="minorBidi"/>
          <w:sz w:val="32"/>
          <w:szCs w:val="32"/>
        </w:rPr>
        <w:t>体系</w:t>
      </w:r>
      <w:r>
        <w:rPr>
          <w:rFonts w:ascii="仿宋_GB2312" w:eastAsia="仿宋_GB2312" w:hAnsiTheme="minorEastAsia" w:cstheme="minorBidi"/>
          <w:sz w:val="32"/>
          <w:szCs w:val="32"/>
        </w:rPr>
        <w:t>考核</w:t>
      </w:r>
      <w:r>
        <w:rPr>
          <w:rFonts w:hint="eastAsia" w:ascii="仿宋_GB2312" w:eastAsia="仿宋_GB2312" w:hAnsiTheme="minorEastAsia" w:cstheme="minorBidi"/>
          <w:sz w:val="32"/>
          <w:szCs w:val="32"/>
        </w:rPr>
        <w:t>和</w:t>
      </w:r>
      <w:r>
        <w:rPr>
          <w:rFonts w:ascii="仿宋_GB2312" w:eastAsia="仿宋_GB2312" w:hAnsiTheme="minorEastAsia" w:cstheme="minorBidi"/>
          <w:sz w:val="32"/>
          <w:szCs w:val="32"/>
        </w:rPr>
        <w:t>处理</w:t>
      </w:r>
      <w:r>
        <w:rPr>
          <w:rFonts w:hint="eastAsia" w:ascii="仿宋_GB2312" w:eastAsia="仿宋_GB2312" w:hAnsiTheme="minorEastAsia" w:cstheme="minorBidi"/>
          <w:sz w:val="32"/>
          <w:szCs w:val="32"/>
        </w:rPr>
        <w:t>。</w:t>
      </w:r>
    </w:p>
    <w:p>
      <w:pPr>
        <w:widowControl/>
        <w:spacing w:before="100" w:beforeAutospacing="1" w:after="100" w:afterAutospacing="1" w:line="240" w:lineRule="auto"/>
        <w:ind w:firstLine="3220" w:firstLineChars="1150"/>
        <w:jc w:val="left"/>
        <w:rPr>
          <w:rFonts w:cs="宋体" w:asciiTheme="minorEastAsia" w:hAnsiTheme="minorEastAsia"/>
          <w:color w:val="000000"/>
          <w:kern w:val="0"/>
          <w:sz w:val="28"/>
          <w:szCs w:val="28"/>
        </w:rPr>
      </w:pPr>
    </w:p>
    <w:p>
      <w:pPr>
        <w:widowControl/>
        <w:spacing w:before="100" w:beforeAutospacing="1" w:after="100" w:afterAutospacing="1" w:line="240" w:lineRule="auto"/>
        <w:ind w:firstLine="4176" w:firstLineChars="1300"/>
        <w:jc w:val="left"/>
        <w:rPr>
          <w:rFonts w:ascii="楷体_GB2312" w:eastAsia="楷体_GB2312" w:cs="宋体" w:hAnsiTheme="minorEastAsia"/>
          <w:b/>
          <w:color w:val="000000"/>
          <w:kern w:val="0"/>
          <w:sz w:val="32"/>
          <w:szCs w:val="32"/>
        </w:rPr>
      </w:pPr>
      <w:r>
        <w:rPr>
          <w:rFonts w:ascii="楷体_GB2312" w:eastAsia="楷体_GB2312" w:cs="宋体" w:hAnsiTheme="minorEastAsia"/>
          <w:b/>
          <w:color w:val="000000"/>
          <w:kern w:val="0"/>
          <w:sz w:val="32"/>
          <w:szCs w:val="32"/>
        </w:rPr>
        <w:t>单位名称（公章）：</w:t>
      </w:r>
    </w:p>
    <w:p>
      <w:pPr>
        <w:widowControl/>
        <w:spacing w:before="100" w:beforeAutospacing="1" w:after="100" w:afterAutospacing="1" w:line="240" w:lineRule="auto"/>
        <w:ind w:firstLine="2891" w:firstLineChars="900"/>
        <w:jc w:val="left"/>
        <w:rPr>
          <w:rFonts w:ascii="楷体_GB2312" w:eastAsia="楷体_GB2312" w:hAnsiTheme="minorEastAsia" w:cstheme="minorBidi"/>
          <w:b/>
          <w:sz w:val="32"/>
          <w:szCs w:val="32"/>
        </w:rPr>
      </w:pPr>
      <w:r>
        <w:rPr>
          <w:rFonts w:ascii="楷体_GB2312" w:eastAsia="楷体_GB2312" w:cs="宋体" w:hAnsiTheme="minorEastAsia"/>
          <w:b/>
          <w:color w:val="000000"/>
          <w:kern w:val="0"/>
          <w:sz w:val="32"/>
          <w:szCs w:val="32"/>
        </w:rPr>
        <w:t>法定代表人（签字或盖章）：</w:t>
      </w:r>
    </w:p>
    <w:p>
      <w:pPr>
        <w:widowControl/>
        <w:spacing w:line="240" w:lineRule="auto"/>
        <w:jc w:val="right"/>
        <w:rPr>
          <w:b/>
        </w:rPr>
      </w:pPr>
      <w:r>
        <w:rPr>
          <w:rFonts w:ascii="楷体_GB2312" w:eastAsia="楷体_GB2312" w:cs="宋体" w:hAnsiTheme="minorEastAsia"/>
          <w:b/>
          <w:color w:val="000000"/>
          <w:kern w:val="0"/>
          <w:sz w:val="32"/>
          <w:szCs w:val="32"/>
        </w:rPr>
        <w:t>承诺日期：20  年  月  日</w:t>
      </w:r>
    </w:p>
    <w:p>
      <w:pPr>
        <w:widowControl/>
        <w:spacing w:line="240" w:lineRule="auto"/>
        <w:jc w:val="left"/>
        <w:rPr>
          <w:b/>
        </w:rPr>
      </w:pPr>
      <w:r>
        <w:rPr>
          <w:b/>
        </w:rPr>
        <w:br w:type="page"/>
      </w:r>
    </w:p>
    <w:p>
      <w:pPr>
        <w:widowControl/>
        <w:spacing w:line="240" w:lineRule="auto"/>
        <w:jc w:val="left"/>
        <w:rPr>
          <w:b/>
        </w:rPr>
      </w:pPr>
      <w:r>
        <w:rPr>
          <w:b/>
        </w:rPr>
        <w:t>附件7</w:t>
      </w:r>
    </w:p>
    <w:p>
      <w:pPr>
        <w:spacing w:line="540" w:lineRule="exact"/>
        <w:jc w:val="center"/>
        <w:rPr>
          <w:rFonts w:eastAsia="黑体"/>
          <w:b/>
          <w:sz w:val="32"/>
          <w:szCs w:val="32"/>
        </w:rPr>
      </w:pPr>
      <w:r>
        <w:rPr>
          <w:rFonts w:eastAsia="黑体"/>
          <w:b/>
          <w:sz w:val="32"/>
          <w:szCs w:val="32"/>
        </w:rPr>
        <w:t>工程</w:t>
      </w:r>
      <w:r>
        <w:rPr>
          <w:rFonts w:hint="eastAsia" w:eastAsia="黑体"/>
          <w:b/>
          <w:sz w:val="32"/>
          <w:szCs w:val="32"/>
        </w:rPr>
        <w:t>（项目）</w:t>
      </w:r>
      <w:r>
        <w:rPr>
          <w:rFonts w:eastAsia="黑体"/>
          <w:b/>
          <w:sz w:val="32"/>
          <w:szCs w:val="32"/>
        </w:rPr>
        <w:t>合法分包承诺书</w:t>
      </w:r>
    </w:p>
    <w:tbl>
      <w:tblPr>
        <w:tblStyle w:val="14"/>
        <w:tblW w:w="4395" w:type="pct"/>
        <w:tblInd w:w="0" w:type="dxa"/>
        <w:tblLayout w:type="autofit"/>
        <w:tblCellMar>
          <w:top w:w="0" w:type="dxa"/>
          <w:left w:w="0" w:type="dxa"/>
          <w:bottom w:w="0" w:type="dxa"/>
          <w:right w:w="0" w:type="dxa"/>
        </w:tblCellMar>
      </w:tblPr>
      <w:tblGrid>
        <w:gridCol w:w="2701"/>
        <w:gridCol w:w="5521"/>
      </w:tblGrid>
      <w:tr>
        <w:tblPrEx>
          <w:tblCellMar>
            <w:top w:w="0" w:type="dxa"/>
            <w:left w:w="0" w:type="dxa"/>
            <w:bottom w:w="0" w:type="dxa"/>
            <w:right w:w="0" w:type="dxa"/>
          </w:tblCellMar>
        </w:tblPrEx>
        <w:tc>
          <w:tcPr>
            <w:tcW w:w="2701" w:type="dxa"/>
          </w:tcPr>
          <w:p>
            <w:pPr>
              <w:snapToGrid w:val="0"/>
              <w:spacing w:before="84" w:beforeLines="35" w:after="84" w:afterLines="35"/>
              <w:rPr>
                <w:rFonts w:eastAsia="仿宋"/>
                <w:b/>
                <w:lang w:bidi="en-US"/>
              </w:rPr>
            </w:pPr>
            <w:r>
              <w:rPr>
                <w:rFonts w:eastAsia="仿宋"/>
                <w:b/>
                <w:spacing w:val="5"/>
                <w:kern w:val="0"/>
                <w:lang w:bidi="en-US"/>
              </w:rPr>
              <w:t>工程（项目）名</w:t>
            </w:r>
            <w:r>
              <w:rPr>
                <w:rFonts w:eastAsia="仿宋"/>
                <w:b/>
                <w:spacing w:val="-15"/>
                <w:kern w:val="0"/>
                <w:lang w:bidi="en-US"/>
              </w:rPr>
              <w:t>称</w:t>
            </w:r>
            <w:r>
              <w:rPr>
                <w:rFonts w:eastAsia="仿宋"/>
                <w:b/>
                <w:lang w:bidi="en-US"/>
              </w:rPr>
              <w:t>：</w:t>
            </w:r>
          </w:p>
        </w:tc>
        <w:tc>
          <w:tcPr>
            <w:tcW w:w="5521" w:type="dxa"/>
            <w:tcBorders>
              <w:bottom w:val="single" w:color="auto" w:sz="4" w:space="0"/>
            </w:tcBorders>
          </w:tcPr>
          <w:p>
            <w:pPr>
              <w:snapToGrid w:val="0"/>
              <w:spacing w:before="84" w:beforeLines="35" w:after="84" w:afterLines="35"/>
              <w:rPr>
                <w:rFonts w:ascii="仿宋" w:hAnsi="仿宋" w:eastAsia="仿宋"/>
                <w:b/>
                <w:lang w:bidi="en-US"/>
              </w:rPr>
            </w:pPr>
          </w:p>
        </w:tc>
      </w:tr>
      <w:tr>
        <w:tblPrEx>
          <w:tblCellMar>
            <w:top w:w="0" w:type="dxa"/>
            <w:left w:w="0" w:type="dxa"/>
            <w:bottom w:w="0" w:type="dxa"/>
            <w:right w:w="0" w:type="dxa"/>
          </w:tblCellMar>
        </w:tblPrEx>
        <w:tc>
          <w:tcPr>
            <w:tcW w:w="2701" w:type="dxa"/>
          </w:tcPr>
          <w:p>
            <w:pPr>
              <w:snapToGrid w:val="0"/>
              <w:spacing w:before="84" w:beforeLines="35" w:after="84" w:afterLines="35"/>
              <w:rPr>
                <w:rFonts w:eastAsia="仿宋"/>
                <w:b/>
                <w:lang w:bidi="en-US"/>
              </w:rPr>
            </w:pPr>
            <w:r>
              <w:rPr>
                <w:rFonts w:eastAsia="仿宋"/>
                <w:b/>
                <w:spacing w:val="3"/>
                <w:w w:val="100"/>
                <w:kern w:val="0"/>
                <w:fitText w:val="1967" w:id="-1510839808"/>
                <w:lang w:bidi="en-US"/>
              </w:rPr>
              <w:t>建设单位（全称</w:t>
            </w:r>
            <w:r>
              <w:rPr>
                <w:rFonts w:eastAsia="仿宋"/>
                <w:b/>
                <w:spacing w:val="2"/>
                <w:w w:val="100"/>
                <w:kern w:val="0"/>
                <w:fitText w:val="1967" w:id="-1510839808"/>
                <w:lang w:bidi="en-US"/>
              </w:rPr>
              <w:t>）</w:t>
            </w:r>
            <w:r>
              <w:rPr>
                <w:rFonts w:eastAsia="仿宋"/>
                <w:b/>
                <w:lang w:bidi="en-US"/>
              </w:rPr>
              <w:t>：</w:t>
            </w:r>
          </w:p>
        </w:tc>
        <w:tc>
          <w:tcPr>
            <w:tcW w:w="5521" w:type="dxa"/>
            <w:tcBorders>
              <w:top w:val="single" w:color="auto" w:sz="4" w:space="0"/>
              <w:bottom w:val="single" w:color="auto" w:sz="4" w:space="0"/>
            </w:tcBorders>
          </w:tcPr>
          <w:p>
            <w:pPr>
              <w:snapToGrid w:val="0"/>
              <w:spacing w:before="84" w:beforeLines="35" w:after="84" w:afterLines="35"/>
              <w:rPr>
                <w:rFonts w:eastAsia="仿宋"/>
                <w:b/>
                <w:lang w:bidi="en-US"/>
              </w:rPr>
            </w:pPr>
            <w:r>
              <w:rPr>
                <w:rFonts w:eastAsia="仿宋"/>
                <w:b/>
                <w:spacing w:val="40"/>
                <w:kern w:val="0"/>
                <w:fitText w:val="5058" w:id="-1510839807"/>
                <w:lang w:bidi="en-US"/>
              </w:rPr>
              <w:t>中国石化上海高桥石油化工有限公</w:t>
            </w:r>
            <w:r>
              <w:rPr>
                <w:rFonts w:eastAsia="仿宋"/>
                <w:b/>
                <w:spacing w:val="9"/>
                <w:kern w:val="0"/>
                <w:fitText w:val="5058" w:id="-1510839807"/>
                <w:lang w:bidi="en-US"/>
              </w:rPr>
              <w:t>司</w:t>
            </w:r>
          </w:p>
        </w:tc>
      </w:tr>
      <w:tr>
        <w:tblPrEx>
          <w:tblCellMar>
            <w:top w:w="0" w:type="dxa"/>
            <w:left w:w="0" w:type="dxa"/>
            <w:bottom w:w="0" w:type="dxa"/>
            <w:right w:w="0" w:type="dxa"/>
          </w:tblCellMar>
        </w:tblPrEx>
        <w:tc>
          <w:tcPr>
            <w:tcW w:w="2701" w:type="dxa"/>
          </w:tcPr>
          <w:p>
            <w:pPr>
              <w:snapToGrid w:val="0"/>
              <w:spacing w:before="84" w:beforeLines="35" w:after="84" w:afterLines="35"/>
              <w:rPr>
                <w:rFonts w:eastAsia="仿宋"/>
                <w:b/>
                <w:lang w:bidi="en-US"/>
              </w:rPr>
            </w:pPr>
            <w:r>
              <w:rPr>
                <w:rFonts w:eastAsia="仿宋"/>
                <w:b/>
                <w:spacing w:val="3"/>
                <w:w w:val="100"/>
                <w:kern w:val="0"/>
                <w:fitText w:val="1967" w:id="-1510839806"/>
                <w:lang w:bidi="en-US"/>
              </w:rPr>
              <w:t>承包单位（全称</w:t>
            </w:r>
            <w:r>
              <w:rPr>
                <w:rFonts w:eastAsia="仿宋"/>
                <w:b/>
                <w:spacing w:val="2"/>
                <w:w w:val="100"/>
                <w:kern w:val="0"/>
                <w:fitText w:val="1967" w:id="-1510839806"/>
                <w:lang w:bidi="en-US"/>
              </w:rPr>
              <w:t>）</w:t>
            </w:r>
            <w:r>
              <w:rPr>
                <w:rFonts w:eastAsia="仿宋"/>
                <w:b/>
                <w:lang w:bidi="en-US"/>
              </w:rPr>
              <w:t>：</w:t>
            </w:r>
          </w:p>
        </w:tc>
        <w:tc>
          <w:tcPr>
            <w:tcW w:w="5521" w:type="dxa"/>
            <w:tcBorders>
              <w:top w:val="single" w:color="auto" w:sz="4" w:space="0"/>
              <w:bottom w:val="single" w:color="auto" w:sz="4" w:space="0"/>
            </w:tcBorders>
          </w:tcPr>
          <w:p>
            <w:pPr>
              <w:snapToGrid w:val="0"/>
              <w:spacing w:before="84" w:beforeLines="35" w:after="84" w:afterLines="35"/>
              <w:rPr>
                <w:rFonts w:eastAsia="仿宋"/>
                <w:b/>
                <w:lang w:bidi="en-US"/>
              </w:rPr>
            </w:pPr>
          </w:p>
        </w:tc>
      </w:tr>
    </w:tbl>
    <w:p>
      <w:pPr>
        <w:spacing w:before="84" w:beforeLines="35" w:after="84" w:afterLines="35" w:line="360" w:lineRule="exact"/>
        <w:ind w:firstLine="482" w:firstLineChars="200"/>
        <w:rPr>
          <w:rFonts w:eastAsia="仿宋"/>
          <w:b/>
          <w:lang w:bidi="en-US"/>
        </w:rPr>
      </w:pPr>
      <w:r>
        <w:rPr>
          <w:rFonts w:eastAsia="仿宋"/>
          <w:b/>
          <w:lang w:bidi="en-US"/>
        </w:rPr>
        <w:t>依据《中国石化建设工程分包管理办法》（JZGSH-B1702-23-088-2020-5）及《高桥石化建设工程</w:t>
      </w:r>
      <w:r>
        <w:rPr>
          <w:rFonts w:hint="eastAsia" w:eastAsia="仿宋"/>
          <w:b/>
          <w:lang w:bidi="en-US"/>
        </w:rPr>
        <w:t>招标</w:t>
      </w:r>
      <w:r>
        <w:rPr>
          <w:rFonts w:eastAsia="仿宋"/>
          <w:b/>
          <w:lang w:bidi="en-US"/>
        </w:rPr>
        <w:t>及分包管理办法》的规定，遵循“谁发包谁管理”“谁实施谁负责”，以及“依法合规、诚实守信”的原则、我单位就本合同承担工作的分包发包管理工作向建设单位作出如下承诺：</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严格执行国家、中国石油化工集团有限公司和中国石化上海高桥石油化工有限公司对建设工程分包发包管理的相关法律、法规及制度文件。保证分包单位是中国石化建设工程市场诚信体系合格成员，保证不发生违法违规分包、违法违规转包等行为。</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分包工程实施前编制并</w:t>
      </w:r>
      <w:r>
        <w:rPr>
          <w:rFonts w:eastAsia="仿宋"/>
          <w:b/>
          <w:kern w:val="0"/>
          <w:lang w:bidi="en-US"/>
        </w:rPr>
        <w:t>提交工程分包方案报建设单位审批，并应当在中国石化建设工程</w:t>
      </w:r>
      <w:r>
        <w:rPr>
          <w:rFonts w:hint="eastAsia" w:eastAsia="仿宋"/>
          <w:b/>
          <w:kern w:val="0"/>
          <w:lang w:bidi="en-US"/>
        </w:rPr>
        <w:t>竞争性谈判响应</w:t>
      </w:r>
      <w:r>
        <w:rPr>
          <w:rFonts w:eastAsia="仿宋"/>
          <w:b/>
          <w:kern w:val="0"/>
          <w:lang w:bidi="en-US"/>
        </w:rPr>
        <w:t>管理信息系统（简称招</w:t>
      </w:r>
      <w:r>
        <w:rPr>
          <w:rFonts w:hint="eastAsia" w:eastAsia="仿宋"/>
          <w:b/>
          <w:kern w:val="0"/>
          <w:lang w:bidi="en-US"/>
        </w:rPr>
        <w:t>响应</w:t>
      </w:r>
      <w:r>
        <w:rPr>
          <w:rFonts w:eastAsia="仿宋"/>
          <w:b/>
          <w:kern w:val="0"/>
          <w:lang w:bidi="en-US"/>
        </w:rPr>
        <w:t>信息系统）上进行审批。若分包方案变更则重复此审批程序</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按经</w:t>
      </w:r>
      <w:r>
        <w:rPr>
          <w:rFonts w:eastAsia="仿宋"/>
          <w:b/>
          <w:kern w:val="0"/>
          <w:lang w:bidi="en-US"/>
        </w:rPr>
        <w:t>审批的“建设工程分包方案申请表”完成“</w:t>
      </w:r>
      <w:r>
        <w:rPr>
          <w:rFonts w:eastAsia="仿宋"/>
          <w:b/>
          <w:lang w:bidi="en-US"/>
        </w:rPr>
        <w:t>建设工程分包结果备案申请表</w:t>
      </w:r>
      <w:r>
        <w:rPr>
          <w:rFonts w:eastAsia="仿宋"/>
          <w:b/>
          <w:kern w:val="0"/>
          <w:lang w:bidi="en-US"/>
        </w:rPr>
        <w:t>”并报建设单位审批。同时在确定分包单位后7日内，在招</w:t>
      </w:r>
      <w:r>
        <w:rPr>
          <w:rFonts w:hint="eastAsia" w:eastAsia="仿宋"/>
          <w:b/>
          <w:kern w:val="0"/>
          <w:lang w:bidi="en-US"/>
        </w:rPr>
        <w:t>响应</w:t>
      </w:r>
      <w:r>
        <w:rPr>
          <w:rFonts w:eastAsia="仿宋"/>
          <w:b/>
          <w:kern w:val="0"/>
          <w:lang w:bidi="en-US"/>
        </w:rPr>
        <w:t>信息系统上填报分包结果完成备案。</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按</w:t>
      </w:r>
      <w:r>
        <w:rPr>
          <w:rFonts w:eastAsia="仿宋"/>
          <w:b/>
          <w:kern w:val="0"/>
          <w:lang w:bidi="en-US"/>
        </w:rPr>
        <w:t>审批的“</w:t>
      </w:r>
      <w:r>
        <w:rPr>
          <w:rFonts w:eastAsia="仿宋"/>
          <w:b/>
          <w:lang w:bidi="en-US"/>
        </w:rPr>
        <w:t>建设工程分包结果备案申请表</w:t>
      </w:r>
      <w:r>
        <w:rPr>
          <w:rFonts w:eastAsia="仿宋"/>
          <w:b/>
          <w:kern w:val="0"/>
          <w:lang w:bidi="en-US"/>
        </w:rPr>
        <w:t>”签订分包合同，完成后提交“</w:t>
      </w:r>
      <w:r>
        <w:rPr>
          <w:rFonts w:eastAsia="仿宋"/>
          <w:b/>
          <w:lang w:bidi="en-US"/>
        </w:rPr>
        <w:t>建设工程分包合同备案申请表</w:t>
      </w:r>
      <w:r>
        <w:rPr>
          <w:rFonts w:eastAsia="仿宋"/>
          <w:b/>
          <w:kern w:val="0"/>
          <w:lang w:bidi="en-US"/>
        </w:rPr>
        <w:t>”并报建设单位审批。并应当在分包合同签订后7日内，在招</w:t>
      </w:r>
      <w:r>
        <w:rPr>
          <w:rFonts w:hint="eastAsia" w:eastAsia="仿宋"/>
          <w:b/>
          <w:kern w:val="0"/>
          <w:lang w:bidi="en-US"/>
        </w:rPr>
        <w:t>响应</w:t>
      </w:r>
      <w:r>
        <w:rPr>
          <w:rFonts w:eastAsia="仿宋"/>
          <w:b/>
          <w:kern w:val="0"/>
          <w:lang w:bidi="en-US"/>
        </w:rPr>
        <w:t>信息系统上传分包合同完成备案。</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严格按照《中国石化建设工程分包管理办法》3.2条“工程分包现场管理要求”，做好分包单位进场核查、分包单位人员与设备机具管理、分包单位施工技术管理、分包单位HSSE管理、分包单位质量管理、分包单位进度管理、分包单位物资采购管理、分包工程款管理、分包合同监管及分包单位风险管理等各项管理工作。</w:t>
      </w:r>
    </w:p>
    <w:p>
      <w:pPr>
        <w:pStyle w:val="26"/>
        <w:numPr>
          <w:ilvl w:val="0"/>
          <w:numId w:val="4"/>
        </w:numPr>
        <w:spacing w:before="84" w:beforeLines="35" w:after="84" w:afterLines="35" w:line="360" w:lineRule="exact"/>
        <w:ind w:left="567" w:hanging="141" w:firstLineChars="0"/>
        <w:rPr>
          <w:rFonts w:eastAsia="仿宋"/>
          <w:b/>
          <w:lang w:bidi="en-US"/>
        </w:rPr>
      </w:pPr>
      <w:r>
        <w:rPr>
          <w:rFonts w:eastAsia="仿宋"/>
          <w:b/>
          <w:lang w:bidi="en-US"/>
        </w:rPr>
        <w:t>按照《中国石化建设工程市场诚信体系管理办法》和《中国石化建设项目承包商记分量化考核管理办法（试行）》，及时对分包单位进行考核，并将结果纳入中国石化建设工程市场诚信体系。</w:t>
      </w:r>
    </w:p>
    <w:tbl>
      <w:tblPr>
        <w:tblStyle w:val="14"/>
        <w:tblW w:w="0" w:type="auto"/>
        <w:jc w:val="right"/>
        <w:tblLayout w:type="autofit"/>
        <w:tblCellMar>
          <w:top w:w="0" w:type="dxa"/>
          <w:left w:w="0" w:type="dxa"/>
          <w:bottom w:w="0" w:type="dxa"/>
          <w:right w:w="0" w:type="dxa"/>
        </w:tblCellMar>
      </w:tblPr>
      <w:tblGrid>
        <w:gridCol w:w="2269"/>
        <w:gridCol w:w="4820"/>
      </w:tblGrid>
      <w:tr>
        <w:tblPrEx>
          <w:tblCellMar>
            <w:top w:w="0" w:type="dxa"/>
            <w:left w:w="0" w:type="dxa"/>
            <w:bottom w:w="0" w:type="dxa"/>
            <w:right w:w="0" w:type="dxa"/>
          </w:tblCellMar>
        </w:tblPrEx>
        <w:trPr>
          <w:jc w:val="right"/>
        </w:trPr>
        <w:tc>
          <w:tcPr>
            <w:tcW w:w="2269" w:type="dxa"/>
          </w:tcPr>
          <w:p>
            <w:pPr>
              <w:spacing w:before="84" w:beforeLines="35" w:after="84" w:afterLines="35" w:line="360" w:lineRule="exact"/>
              <w:rPr>
                <w:rFonts w:eastAsia="仿宋"/>
                <w:b/>
                <w:lang w:bidi="en-US"/>
              </w:rPr>
            </w:pPr>
            <w:r>
              <w:rPr>
                <w:rFonts w:eastAsia="仿宋"/>
                <w:b/>
                <w:spacing w:val="0"/>
                <w:w w:val="87"/>
                <w:kern w:val="0"/>
                <w:fitText w:val="1686" w:id="-1510839805"/>
                <w:lang w:bidi="en-US"/>
              </w:rPr>
              <w:t>承诺单位（全称</w:t>
            </w:r>
            <w:r>
              <w:rPr>
                <w:rFonts w:eastAsia="仿宋"/>
                <w:b/>
                <w:spacing w:val="1"/>
                <w:w w:val="87"/>
                <w:kern w:val="0"/>
                <w:fitText w:val="1686" w:id="-1510839805"/>
                <w:lang w:bidi="en-US"/>
              </w:rPr>
              <w:t>）</w:t>
            </w:r>
            <w:r>
              <w:rPr>
                <w:rFonts w:eastAsia="仿宋"/>
                <w:b/>
                <w:lang w:bidi="en-US"/>
              </w:rPr>
              <w:t>：</w:t>
            </w:r>
          </w:p>
          <w:p>
            <w:pPr>
              <w:spacing w:before="84" w:beforeLines="35" w:after="84" w:afterLines="35" w:line="360" w:lineRule="exact"/>
              <w:rPr>
                <w:rFonts w:eastAsia="仿宋"/>
                <w:b/>
                <w:lang w:bidi="en-US"/>
              </w:rPr>
            </w:pPr>
            <w:r>
              <w:rPr>
                <w:rFonts w:hint="eastAsia" w:eastAsia="仿宋"/>
                <w:b/>
                <w:lang w:bidi="en-US"/>
              </w:rPr>
              <w:t>（章）</w:t>
            </w:r>
          </w:p>
        </w:tc>
        <w:tc>
          <w:tcPr>
            <w:tcW w:w="4820" w:type="dxa"/>
          </w:tcPr>
          <w:p>
            <w:pPr>
              <w:spacing w:before="84" w:beforeLines="35" w:after="84" w:afterLines="35" w:line="360" w:lineRule="exact"/>
              <w:rPr>
                <w:rFonts w:eastAsia="仿宋"/>
                <w:u w:val="single"/>
                <w:lang w:bidi="en-US"/>
              </w:rPr>
            </w:pPr>
          </w:p>
          <w:p>
            <w:pPr>
              <w:spacing w:before="84" w:beforeLines="35" w:after="84" w:afterLines="35" w:line="360" w:lineRule="exact"/>
              <w:rPr>
                <w:rFonts w:eastAsia="仿宋"/>
                <w:b/>
                <w:lang w:bidi="en-US"/>
              </w:rPr>
            </w:pPr>
          </w:p>
        </w:tc>
      </w:tr>
      <w:tr>
        <w:tblPrEx>
          <w:tblCellMar>
            <w:top w:w="0" w:type="dxa"/>
            <w:left w:w="0" w:type="dxa"/>
            <w:bottom w:w="0" w:type="dxa"/>
            <w:right w:w="0" w:type="dxa"/>
          </w:tblCellMar>
        </w:tblPrEx>
        <w:trPr>
          <w:jc w:val="right"/>
        </w:trPr>
        <w:tc>
          <w:tcPr>
            <w:tcW w:w="2269" w:type="dxa"/>
          </w:tcPr>
          <w:p>
            <w:pPr>
              <w:spacing w:before="84" w:beforeLines="35" w:after="84" w:afterLines="35" w:line="360" w:lineRule="exact"/>
              <w:rPr>
                <w:rFonts w:eastAsia="仿宋"/>
                <w:b/>
                <w:lang w:bidi="en-US"/>
              </w:rPr>
            </w:pPr>
            <w:r>
              <w:rPr>
                <w:rFonts w:eastAsia="仿宋"/>
                <w:b/>
                <w:spacing w:val="60"/>
                <w:kern w:val="0"/>
                <w:fitText w:val="1686" w:id="-1510839804"/>
                <w:lang w:bidi="en-US"/>
              </w:rPr>
              <w:t>法定代表</w:t>
            </w:r>
            <w:r>
              <w:rPr>
                <w:rFonts w:eastAsia="仿宋"/>
                <w:b/>
                <w:spacing w:val="3"/>
                <w:kern w:val="0"/>
                <w:fitText w:val="1686" w:id="-1510839804"/>
                <w:lang w:bidi="en-US"/>
              </w:rPr>
              <w:t>人</w:t>
            </w:r>
            <w:r>
              <w:rPr>
                <w:rFonts w:eastAsia="仿宋"/>
                <w:b/>
                <w:lang w:bidi="en-US"/>
              </w:rPr>
              <w:t>：</w:t>
            </w:r>
          </w:p>
          <w:p>
            <w:pPr>
              <w:spacing w:before="84" w:beforeLines="35" w:after="84" w:afterLines="35" w:line="360" w:lineRule="exact"/>
              <w:rPr>
                <w:rFonts w:eastAsia="仿宋"/>
                <w:b/>
                <w:lang w:bidi="en-US"/>
              </w:rPr>
            </w:pPr>
            <w:r>
              <w:rPr>
                <w:rFonts w:eastAsia="仿宋"/>
                <w:b/>
                <w:spacing w:val="0"/>
                <w:w w:val="87"/>
                <w:kern w:val="0"/>
                <w:fitText w:val="1686" w:id="-1510839803"/>
                <w:lang w:bidi="en-US"/>
              </w:rPr>
              <w:t>（或委托代理人</w:t>
            </w:r>
            <w:r>
              <w:rPr>
                <w:rFonts w:eastAsia="仿宋"/>
                <w:b/>
                <w:spacing w:val="1"/>
                <w:w w:val="87"/>
                <w:kern w:val="0"/>
                <w:fitText w:val="1686" w:id="-1510839803"/>
                <w:lang w:bidi="en-US"/>
              </w:rPr>
              <w:t>）</w:t>
            </w:r>
            <w:r>
              <w:rPr>
                <w:rFonts w:eastAsia="仿宋"/>
                <w:b/>
                <w:lang w:bidi="en-US"/>
              </w:rPr>
              <w:t>：</w:t>
            </w:r>
          </w:p>
        </w:tc>
        <w:tc>
          <w:tcPr>
            <w:tcW w:w="4820" w:type="dxa"/>
          </w:tcPr>
          <w:p>
            <w:pPr>
              <w:spacing w:before="84" w:beforeLines="35" w:after="84" w:afterLines="35" w:line="360" w:lineRule="exact"/>
              <w:rPr>
                <w:rFonts w:eastAsia="仿宋"/>
                <w:b/>
                <w:lang w:bidi="en-US"/>
              </w:rPr>
            </w:pPr>
          </w:p>
          <w:p>
            <w:pPr>
              <w:spacing w:before="84" w:beforeLines="35" w:after="84" w:afterLines="35" w:line="360" w:lineRule="exact"/>
              <w:rPr>
                <w:rFonts w:eastAsia="仿宋"/>
                <w:u w:val="single"/>
                <w:lang w:bidi="en-US"/>
              </w:rPr>
            </w:pPr>
          </w:p>
        </w:tc>
      </w:tr>
    </w:tbl>
    <w:p>
      <w:pPr>
        <w:spacing w:before="84" w:beforeLines="35" w:after="84" w:afterLines="35" w:line="360" w:lineRule="exact"/>
        <w:ind w:firstLine="4108" w:firstLineChars="1705"/>
        <w:jc w:val="center"/>
        <w:rPr>
          <w:color w:val="0000FF"/>
        </w:rPr>
      </w:pPr>
      <w:r>
        <w:rPr>
          <w:rFonts w:eastAsia="仿宋"/>
          <w:b/>
          <w:lang w:bidi="en-US"/>
        </w:rPr>
        <w:t>日期：</w:t>
      </w:r>
      <w:bookmarkStart w:id="14" w:name="YFQMRQ"/>
      <w:bookmarkEnd w:id="14"/>
      <w:r>
        <w:rPr>
          <w:rFonts w:eastAsia="仿宋"/>
          <w:b/>
          <w:lang w:bidi="en-US"/>
        </w:rPr>
        <w:t>20  年</w:t>
      </w:r>
      <w:r>
        <w:rPr>
          <w:rFonts w:hint="eastAsia" w:eastAsia="仿宋"/>
          <w:b/>
          <w:lang w:bidi="en-US"/>
        </w:rPr>
        <w:t xml:space="preserve">  </w:t>
      </w:r>
      <w:r>
        <w:rPr>
          <w:rFonts w:eastAsia="仿宋"/>
          <w:b/>
          <w:lang w:bidi="en-US"/>
        </w:rPr>
        <w:t>月</w:t>
      </w:r>
      <w:r>
        <w:rPr>
          <w:rFonts w:hint="eastAsia" w:eastAsia="仿宋"/>
          <w:b/>
          <w:lang w:bidi="en-US"/>
        </w:rPr>
        <w:t xml:space="preserve">  </w:t>
      </w:r>
      <w:r>
        <w:rPr>
          <w:rFonts w:eastAsia="仿宋"/>
          <w:b/>
          <w:lang w:bidi="en-US"/>
        </w:rPr>
        <w:t>日</w:t>
      </w:r>
      <w:r>
        <w:rPr>
          <w:color w:val="0000FF"/>
        </w:rPr>
        <w:br w:type="page"/>
      </w:r>
    </w:p>
    <w:p>
      <w:pPr>
        <w:widowControl/>
        <w:spacing w:line="240" w:lineRule="auto"/>
        <w:jc w:val="left"/>
        <w:rPr>
          <w:b/>
        </w:rPr>
      </w:pPr>
      <w:r>
        <w:rPr>
          <w:b/>
        </w:rPr>
        <w:t>附件8</w:t>
      </w:r>
      <w:r>
        <w:rPr>
          <w:rFonts w:hint="eastAsia"/>
          <w:b/>
        </w:rPr>
        <w:t>（</w:t>
      </w:r>
      <w:r>
        <w:rPr>
          <w:rFonts w:hint="eastAsia" w:ascii="宋体" w:hAnsi="宋体"/>
          <w:b/>
        </w:rPr>
        <w:t>技术响应文件内封面格式</w:t>
      </w:r>
      <w:r>
        <w:rPr>
          <w:b/>
        </w:rPr>
        <w:t>）</w:t>
      </w:r>
      <w:r>
        <w:rPr>
          <w:rFonts w:hint="eastAsia"/>
          <w:b/>
        </w:rPr>
        <w:t>:</w:t>
      </w:r>
    </w:p>
    <w:p>
      <w:pPr>
        <w:widowControl/>
        <w:spacing w:line="240" w:lineRule="auto"/>
        <w:jc w:val="left"/>
        <w:rPr>
          <w:b/>
          <w:sz w:val="32"/>
          <w:szCs w:val="32"/>
        </w:rPr>
      </w:pPr>
    </w:p>
    <w:p>
      <w:pPr>
        <w:spacing w:line="240" w:lineRule="auto"/>
        <w:jc w:val="center"/>
        <w:rPr>
          <w:rFonts w:ascii="楷体_GB2312" w:eastAsia="楷体_GB2312"/>
          <w:b/>
          <w:color w:val="000000"/>
          <w:sz w:val="44"/>
          <w:szCs w:val="44"/>
        </w:rPr>
      </w:pPr>
      <w:permStart w:id="31" w:edGrp="everyone"/>
      <w:r>
        <w:rPr>
          <w:rFonts w:hint="eastAsia" w:ascii="黑体" w:hAnsi="黑体" w:eastAsia="黑体"/>
          <w:b/>
          <w:spacing w:val="-20"/>
          <w:sz w:val="32"/>
          <w:szCs w:val="32"/>
        </w:rPr>
        <w:t>“*</w:t>
      </w:r>
      <w:r>
        <w:rPr>
          <w:rFonts w:ascii="黑体" w:hAnsi="黑体" w:eastAsia="黑体"/>
          <w:b/>
          <w:spacing w:val="-20"/>
          <w:sz w:val="32"/>
          <w:szCs w:val="32"/>
        </w:rPr>
        <w:t>****************</w:t>
      </w:r>
      <w:r>
        <w:rPr>
          <w:rFonts w:hint="eastAsia" w:ascii="黑体" w:hAnsi="黑体" w:eastAsia="黑体"/>
          <w:b/>
          <w:spacing w:val="-20"/>
          <w:sz w:val="32"/>
          <w:szCs w:val="32"/>
        </w:rPr>
        <w:t>”业务（</w:t>
      </w:r>
      <w:r>
        <w:rPr>
          <w:rFonts w:ascii="黑体" w:hAnsi="黑体" w:eastAsia="黑体"/>
          <w:b/>
          <w:spacing w:val="-20"/>
          <w:sz w:val="32"/>
          <w:szCs w:val="32"/>
        </w:rPr>
        <w:t>项目）</w:t>
      </w:r>
      <w:r>
        <w:rPr>
          <w:rFonts w:hint="eastAsia" w:ascii="黑体" w:hAnsi="黑体" w:eastAsia="黑体"/>
          <w:b/>
          <w:spacing w:val="-20"/>
          <w:sz w:val="32"/>
          <w:szCs w:val="32"/>
        </w:rPr>
        <w:t>竞争</w:t>
      </w:r>
      <w:r>
        <w:rPr>
          <w:rFonts w:ascii="黑体" w:hAnsi="黑体" w:eastAsia="黑体"/>
          <w:b/>
          <w:spacing w:val="-20"/>
          <w:sz w:val="32"/>
          <w:szCs w:val="32"/>
        </w:rPr>
        <w:t>性选商</w:t>
      </w:r>
    </w:p>
    <w:permEnd w:id="31"/>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p>
    <w:p>
      <w:pPr>
        <w:spacing w:line="240" w:lineRule="auto"/>
        <w:jc w:val="center"/>
        <w:rPr>
          <w:rFonts w:ascii="楷体_GB2312" w:eastAsia="楷体_GB2312"/>
          <w:b/>
          <w:color w:val="000000"/>
          <w:sz w:val="44"/>
          <w:szCs w:val="44"/>
        </w:rPr>
      </w:pPr>
      <w:r>
        <w:rPr>
          <w:rFonts w:hint="eastAsia" w:ascii="楷体_GB2312" w:eastAsia="楷体_GB2312"/>
          <w:b/>
          <w:color w:val="000000"/>
          <w:sz w:val="44"/>
          <w:szCs w:val="44"/>
        </w:rPr>
        <w:t>技术</w:t>
      </w:r>
    </w:p>
    <w:p>
      <w:pPr>
        <w:spacing w:line="240" w:lineRule="auto"/>
        <w:jc w:val="center"/>
        <w:rPr>
          <w:b/>
          <w:color w:val="000000" w:themeColor="text1"/>
          <w:sz w:val="72"/>
          <w:szCs w:val="72"/>
          <w14:textFill>
            <w14:solidFill>
              <w14:schemeClr w14:val="tx1"/>
            </w14:solidFill>
          </w14:textFill>
        </w:rPr>
      </w:pPr>
      <w:r>
        <w:rPr>
          <w:rFonts w:hint="eastAsia" w:ascii="楷体_GB2312" w:eastAsia="楷体_GB2312"/>
          <w:b/>
          <w:color w:val="000000"/>
          <w:sz w:val="84"/>
          <w:szCs w:val="84"/>
        </w:rPr>
        <w:t>响应</w:t>
      </w:r>
      <w:r>
        <w:rPr>
          <w:rFonts w:ascii="楷体_GB2312" w:eastAsia="楷体_GB2312"/>
          <w:b/>
          <w:color w:val="000000"/>
          <w:sz w:val="84"/>
          <w:szCs w:val="84"/>
        </w:rPr>
        <w:t>文件</w:t>
      </w:r>
    </w:p>
    <w:p>
      <w:pPr>
        <w:adjustRightInd w:val="0"/>
        <w:snapToGrid w:val="0"/>
        <w:jc w:val="center"/>
        <w:rPr>
          <w:bCs/>
          <w:sz w:val="48"/>
          <w:szCs w:val="48"/>
        </w:rPr>
      </w:pPr>
    </w:p>
    <w:tbl>
      <w:tblPr>
        <w:tblStyle w:val="15"/>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0"/>
        <w:gridCol w:w="404"/>
        <w:gridCol w:w="10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bCs/>
                <w:sz w:val="32"/>
                <w:szCs w:val="32"/>
              </w:rPr>
            </w:pPr>
          </w:p>
        </w:tc>
        <w:tc>
          <w:tcPr>
            <w:tcW w:w="283" w:type="dxa"/>
          </w:tcPr>
          <w:p>
            <w:pPr>
              <w:adjustRightInd w:val="0"/>
              <w:snapToGrid w:val="0"/>
              <w:jc w:val="center"/>
              <w:rPr>
                <w:b/>
                <w:bCs/>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p>
        </w:tc>
        <w:tc>
          <w:tcPr>
            <w:tcW w:w="283" w:type="dxa"/>
          </w:tcPr>
          <w:p>
            <w:pPr>
              <w:adjustRightInd w:val="0"/>
              <w:snapToGrid w:val="0"/>
              <w:jc w:val="center"/>
              <w:rPr>
                <w:b/>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bCs/>
                <w:sz w:val="32"/>
                <w:szCs w:val="32"/>
              </w:rPr>
            </w:pPr>
            <w:r>
              <w:rPr>
                <w:rFonts w:hint="eastAsia"/>
                <w:b/>
                <w:sz w:val="32"/>
                <w:szCs w:val="32"/>
              </w:rPr>
              <w:t>响应人（</w:t>
            </w:r>
            <w:r>
              <w:rPr>
                <w:b/>
                <w:sz w:val="32"/>
                <w:szCs w:val="32"/>
              </w:rPr>
              <w:t>单位盖章）：</w:t>
            </w:r>
          </w:p>
        </w:tc>
        <w:tc>
          <w:tcPr>
            <w:tcW w:w="283" w:type="dxa"/>
          </w:tcPr>
          <w:p>
            <w:pPr>
              <w:adjustRightInd w:val="0"/>
              <w:snapToGrid w:val="0"/>
              <w:rPr>
                <w:b/>
                <w:bCs/>
                <w:sz w:val="32"/>
                <w:szCs w:val="32"/>
              </w:rPr>
            </w:pPr>
          </w:p>
        </w:tc>
        <w:tc>
          <w:tcPr>
            <w:tcW w:w="7229" w:type="dxa"/>
          </w:tcPr>
          <w:p>
            <w:pPr>
              <w:adjustRightInd w:val="0"/>
              <w:snapToGrid w:val="0"/>
              <w:jc w:val="left"/>
              <w:rPr>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p>
        </w:tc>
        <w:tc>
          <w:tcPr>
            <w:tcW w:w="283" w:type="dxa"/>
          </w:tcPr>
          <w:p>
            <w:pPr>
              <w:adjustRightInd w:val="0"/>
              <w:snapToGrid w:val="0"/>
              <w:jc w:val="center"/>
              <w:rPr>
                <w:b/>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r>
              <w:rPr>
                <w:rFonts w:hint="eastAsia"/>
                <w:b/>
                <w:sz w:val="32"/>
                <w:szCs w:val="32"/>
              </w:rPr>
              <w:t>法定</w:t>
            </w:r>
            <w:r>
              <w:rPr>
                <w:b/>
                <w:sz w:val="32"/>
                <w:szCs w:val="32"/>
              </w:rPr>
              <w:t>代表人</w:t>
            </w:r>
            <w:r>
              <w:rPr>
                <w:rFonts w:hint="eastAsia"/>
                <w:b/>
                <w:sz w:val="32"/>
                <w:szCs w:val="32"/>
              </w:rPr>
              <w:t>或</w:t>
            </w:r>
          </w:p>
          <w:p>
            <w:pPr>
              <w:adjustRightInd w:val="0"/>
              <w:snapToGrid w:val="0"/>
              <w:jc w:val="left"/>
              <w:rPr>
                <w:b/>
                <w:sz w:val="32"/>
                <w:szCs w:val="32"/>
              </w:rPr>
            </w:pPr>
            <w:r>
              <w:rPr>
                <w:b/>
                <w:sz w:val="32"/>
                <w:szCs w:val="32"/>
              </w:rPr>
              <w:t>委托代理人</w:t>
            </w:r>
            <w:r>
              <w:rPr>
                <w:rFonts w:hint="eastAsia"/>
                <w:b/>
                <w:bCs/>
                <w:color w:val="000000"/>
                <w:sz w:val="32"/>
                <w:szCs w:val="32"/>
              </w:rPr>
              <w:t>（签字）：</w:t>
            </w:r>
          </w:p>
        </w:tc>
        <w:tc>
          <w:tcPr>
            <w:tcW w:w="283" w:type="dxa"/>
          </w:tcPr>
          <w:p>
            <w:pPr>
              <w:adjustRightInd w:val="0"/>
              <w:snapToGrid w:val="0"/>
              <w:rPr>
                <w:b/>
                <w:bCs/>
                <w:sz w:val="32"/>
                <w:szCs w:val="32"/>
              </w:rPr>
            </w:pPr>
          </w:p>
        </w:tc>
        <w:tc>
          <w:tcPr>
            <w:tcW w:w="7229" w:type="dxa"/>
          </w:tcPr>
          <w:p>
            <w:pPr>
              <w:adjustRightInd w:val="0"/>
              <w:snapToGrid w:val="0"/>
              <w:jc w:val="left"/>
              <w:rPr>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p>
        </w:tc>
        <w:tc>
          <w:tcPr>
            <w:tcW w:w="283" w:type="dxa"/>
          </w:tcPr>
          <w:p>
            <w:pPr>
              <w:adjustRightInd w:val="0"/>
              <w:snapToGrid w:val="0"/>
              <w:jc w:val="center"/>
              <w:rPr>
                <w:b/>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bCs/>
                <w:sz w:val="32"/>
                <w:szCs w:val="32"/>
              </w:rPr>
            </w:pPr>
            <w:r>
              <w:rPr>
                <w:rFonts w:hint="eastAsia"/>
                <w:b/>
                <w:sz w:val="32"/>
                <w:szCs w:val="32"/>
              </w:rPr>
              <w:t>响应人地址：</w:t>
            </w:r>
          </w:p>
        </w:tc>
        <w:tc>
          <w:tcPr>
            <w:tcW w:w="283" w:type="dxa"/>
          </w:tcPr>
          <w:p>
            <w:pPr>
              <w:adjustRightInd w:val="0"/>
              <w:snapToGrid w:val="0"/>
              <w:jc w:val="center"/>
              <w:rPr>
                <w:b/>
                <w:bCs/>
                <w:sz w:val="32"/>
                <w:szCs w:val="32"/>
              </w:rPr>
            </w:pPr>
          </w:p>
        </w:tc>
        <w:tc>
          <w:tcPr>
            <w:tcW w:w="7229" w:type="dxa"/>
          </w:tcPr>
          <w:p>
            <w:pPr>
              <w:adjustRightInd w:val="0"/>
              <w:snapToGrid w:val="0"/>
              <w:jc w:val="left"/>
              <w:rPr>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p>
        </w:tc>
        <w:tc>
          <w:tcPr>
            <w:tcW w:w="283" w:type="dxa"/>
          </w:tcPr>
          <w:p>
            <w:pPr>
              <w:adjustRightInd w:val="0"/>
              <w:snapToGrid w:val="0"/>
              <w:jc w:val="center"/>
              <w:rPr>
                <w:b/>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r>
              <w:rPr>
                <w:rFonts w:hint="eastAsia"/>
                <w:b/>
                <w:sz w:val="32"/>
                <w:szCs w:val="32"/>
              </w:rPr>
              <w:t>联系电话：</w:t>
            </w:r>
          </w:p>
        </w:tc>
        <w:tc>
          <w:tcPr>
            <w:tcW w:w="283" w:type="dxa"/>
          </w:tcPr>
          <w:p>
            <w:pPr>
              <w:adjustRightInd w:val="0"/>
              <w:snapToGrid w:val="0"/>
              <w:jc w:val="center"/>
              <w:rPr>
                <w:b/>
                <w:bCs/>
                <w:sz w:val="32"/>
                <w:szCs w:val="32"/>
              </w:rPr>
            </w:pPr>
          </w:p>
        </w:tc>
        <w:tc>
          <w:tcPr>
            <w:tcW w:w="7229" w:type="dxa"/>
          </w:tcPr>
          <w:p>
            <w:pPr>
              <w:adjustRightInd w:val="0"/>
              <w:snapToGrid w:val="0"/>
              <w:jc w:val="left"/>
              <w:rPr>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p>
        </w:tc>
        <w:tc>
          <w:tcPr>
            <w:tcW w:w="283" w:type="dxa"/>
          </w:tcPr>
          <w:p>
            <w:pPr>
              <w:adjustRightInd w:val="0"/>
              <w:snapToGrid w:val="0"/>
              <w:jc w:val="center"/>
              <w:rPr>
                <w:b/>
                <w:sz w:val="32"/>
                <w:szCs w:val="32"/>
              </w:rPr>
            </w:pPr>
          </w:p>
        </w:tc>
        <w:tc>
          <w:tcPr>
            <w:tcW w:w="7229" w:type="dxa"/>
          </w:tcPr>
          <w:p>
            <w:pPr>
              <w:adjustRightInd w:val="0"/>
              <w:snapToGrid w:val="0"/>
              <w:jc w:val="left"/>
              <w:rPr>
                <w:b/>
                <w:bCs/>
                <w:sz w:val="32"/>
                <w:szCs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6" w:type="dxa"/>
          </w:tcPr>
          <w:p>
            <w:pPr>
              <w:adjustRightInd w:val="0"/>
              <w:snapToGrid w:val="0"/>
              <w:jc w:val="left"/>
              <w:rPr>
                <w:b/>
                <w:sz w:val="32"/>
                <w:szCs w:val="32"/>
              </w:rPr>
            </w:pPr>
            <w:r>
              <w:rPr>
                <w:rFonts w:hint="eastAsia"/>
                <w:b/>
                <w:sz w:val="32"/>
                <w:szCs w:val="32"/>
              </w:rPr>
              <w:t>编制</w:t>
            </w:r>
            <w:r>
              <w:rPr>
                <w:b/>
                <w:sz w:val="32"/>
                <w:szCs w:val="32"/>
              </w:rPr>
              <w:t>日期</w:t>
            </w:r>
            <w:r>
              <w:rPr>
                <w:rFonts w:hint="eastAsia"/>
                <w:b/>
                <w:sz w:val="32"/>
                <w:szCs w:val="32"/>
              </w:rPr>
              <w:t>:</w:t>
            </w:r>
          </w:p>
        </w:tc>
        <w:tc>
          <w:tcPr>
            <w:tcW w:w="283" w:type="dxa"/>
          </w:tcPr>
          <w:p>
            <w:pPr>
              <w:adjustRightInd w:val="0"/>
              <w:snapToGrid w:val="0"/>
              <w:jc w:val="center"/>
              <w:rPr>
                <w:b/>
                <w:bCs/>
                <w:sz w:val="32"/>
                <w:szCs w:val="32"/>
              </w:rPr>
            </w:pPr>
          </w:p>
        </w:tc>
        <w:tc>
          <w:tcPr>
            <w:tcW w:w="7229" w:type="dxa"/>
          </w:tcPr>
          <w:p>
            <w:pPr>
              <w:adjustRightInd w:val="0"/>
              <w:snapToGrid w:val="0"/>
              <w:jc w:val="left"/>
              <w:rPr>
                <w:b/>
                <w:bCs/>
                <w:sz w:val="32"/>
                <w:szCs w:val="32"/>
              </w:rPr>
            </w:pPr>
          </w:p>
        </w:tc>
      </w:tr>
    </w:tbl>
    <w:p>
      <w:pPr>
        <w:adjustRightInd w:val="0"/>
        <w:snapToGrid w:val="0"/>
        <w:jc w:val="center"/>
        <w:rPr>
          <w:bCs/>
          <w:sz w:val="48"/>
          <w:szCs w:val="48"/>
        </w:rPr>
      </w:pPr>
    </w:p>
    <w:p>
      <w:pPr>
        <w:widowControl/>
        <w:spacing w:line="240" w:lineRule="auto"/>
        <w:jc w:val="left"/>
        <w:rPr>
          <w:color w:val="0000FF"/>
        </w:rPr>
      </w:pPr>
      <w:r>
        <w:rPr>
          <w:color w:val="0000FF"/>
        </w:rPr>
        <w:br w:type="page"/>
      </w:r>
    </w:p>
    <w:p>
      <w:pPr>
        <w:widowControl/>
        <w:spacing w:line="240" w:lineRule="auto"/>
        <w:jc w:val="left"/>
        <w:rPr>
          <w:b/>
        </w:rPr>
      </w:pPr>
      <w:r>
        <w:rPr>
          <w:b/>
        </w:rPr>
        <w:t>附件9</w:t>
      </w:r>
    </w:p>
    <w:p>
      <w:pPr>
        <w:spacing w:before="120" w:beforeLines="50" w:after="240" w:afterLines="100"/>
        <w:jc w:val="center"/>
        <w:rPr>
          <w:rFonts w:ascii="黑体" w:hAnsi="黑体" w:eastAsia="黑体"/>
          <w:b/>
          <w:bCs/>
          <w:snapToGrid w:val="0"/>
          <w:kern w:val="0"/>
          <w:sz w:val="32"/>
          <w:szCs w:val="32"/>
        </w:rPr>
      </w:pPr>
      <w:r>
        <w:rPr>
          <w:rFonts w:hint="eastAsia" w:ascii="黑体" w:hAnsi="黑体" w:eastAsia="黑体"/>
          <w:b/>
          <w:bCs/>
          <w:snapToGrid w:val="0"/>
          <w:kern w:val="0"/>
          <w:sz w:val="32"/>
          <w:szCs w:val="32"/>
        </w:rPr>
        <w:t>计划委派的主要管理人员情况表</w:t>
      </w:r>
    </w:p>
    <w:tbl>
      <w:tblPr>
        <w:tblStyle w:val="14"/>
        <w:tblW w:w="4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9"/>
        <w:gridCol w:w="1575"/>
        <w:gridCol w:w="809"/>
        <w:gridCol w:w="453"/>
        <w:gridCol w:w="454"/>
        <w:gridCol w:w="604"/>
        <w:gridCol w:w="1636"/>
        <w:gridCol w:w="176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业务</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w:t>
            </w:r>
          </w:p>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tc>
        <w:tc>
          <w:tcPr>
            <w:tcW w:w="656"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从业</w:t>
            </w:r>
            <w:r>
              <w:rPr>
                <w:color w:val="000000" w:themeColor="text1"/>
                <w:szCs w:val="21"/>
                <w14:textFill>
                  <w14:solidFill>
                    <w14:schemeClr w14:val="tx1"/>
                  </w14:solidFill>
                </w14:textFill>
              </w:rPr>
              <w:t>年限</w:t>
            </w: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单位职务</w:t>
            </w: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所持</w:t>
            </w:r>
            <w:r>
              <w:rPr>
                <w:color w:val="000000" w:themeColor="text1"/>
                <w:szCs w:val="21"/>
                <w14:textFill>
                  <w14:solidFill>
                    <w14:schemeClr w14:val="tx1"/>
                  </w14:solidFill>
                </w14:textFill>
              </w:rPr>
              <w:t>注册执业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职称</w:t>
            </w:r>
            <w:r>
              <w:rPr>
                <w:rFonts w:hint="eastAsia"/>
                <w:color w:val="000000" w:themeColor="text1"/>
                <w:szCs w:val="21"/>
                <w14:textFill>
                  <w14:solidFill>
                    <w14:schemeClr w14:val="tx1"/>
                  </w14:solidFill>
                </w14:textFill>
              </w:rPr>
              <w:t>以及</w:t>
            </w:r>
            <w:r>
              <w:rPr>
                <w:color w:val="000000" w:themeColor="text1"/>
                <w:szCs w:val="21"/>
                <w14:textFill>
                  <w14:solidFill>
                    <w14:schemeClr w14:val="tx1"/>
                  </w14:solidFill>
                </w14:textFill>
              </w:rPr>
              <w:t>其他</w:t>
            </w:r>
            <w:r>
              <w:rPr>
                <w:rFonts w:hint="eastAsia"/>
                <w:color w:val="000000" w:themeColor="text1"/>
                <w:szCs w:val="21"/>
                <w14:textFill>
                  <w14:solidFill>
                    <w14:schemeClr w14:val="tx1"/>
                  </w14:solidFill>
                </w14:textFill>
              </w:rPr>
              <w:t>资格</w:t>
            </w:r>
            <w:r>
              <w:rPr>
                <w:color w:val="000000" w:themeColor="text1"/>
                <w:szCs w:val="21"/>
                <w14:textFill>
                  <w14:solidFill>
                    <w14:schemeClr w14:val="tx1"/>
                  </w14:solidFill>
                </w14:textFill>
              </w:rPr>
              <w:t>证书名称及编号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可多项）</w:t>
            </w: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个人主要</w:t>
            </w:r>
          </w:p>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业务</w:t>
            </w:r>
            <w:r>
              <w:rPr>
                <w:color w:val="000000" w:themeColor="text1"/>
                <w:szCs w:val="21"/>
                <w14:textFill>
                  <w14:solidFill>
                    <w14:schemeClr w14:val="tx1"/>
                  </w14:solidFill>
                </w14:textFill>
              </w:rPr>
              <w:t>（项目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经理</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安全负责人</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质量负责人</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施工负责人</w:t>
            </w: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1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2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88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491"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656" w:type="dxa"/>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789"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935"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c>
          <w:tcPr>
            <w:tcW w:w="1240" w:type="dxa"/>
            <w:vAlign w:val="center"/>
          </w:tcPr>
          <w:p>
            <w:pPr>
              <w:adjustRightInd w:val="0"/>
              <w:snapToGrid w:val="0"/>
              <w:spacing w:before="60" w:beforeLines="25" w:after="60" w:afterLines="25" w:line="240" w:lineRule="auto"/>
              <w:jc w:val="center"/>
              <w:rPr>
                <w:color w:val="000000" w:themeColor="text1"/>
                <w:szCs w:val="21"/>
                <w14:textFill>
                  <w14:solidFill>
                    <w14:schemeClr w14:val="tx1"/>
                  </w14:solidFill>
                </w14:textFill>
              </w:rPr>
            </w:pPr>
          </w:p>
        </w:tc>
      </w:tr>
    </w:tbl>
    <w:p>
      <w:pPr>
        <w:widowControl/>
        <w:spacing w:line="240" w:lineRule="auto"/>
        <w:jc w:val="left"/>
        <w:rPr>
          <w:rFonts w:eastAsia="仿宋_GB2312"/>
          <w:b/>
        </w:rPr>
      </w:pPr>
    </w:p>
    <w:p>
      <w:pPr>
        <w:widowControl/>
        <w:spacing w:line="240" w:lineRule="auto"/>
        <w:jc w:val="left"/>
        <w:rPr>
          <w:rFonts w:eastAsia="仿宋_GB2312"/>
          <w:b/>
        </w:rPr>
      </w:pPr>
      <w:r>
        <w:rPr>
          <w:rFonts w:eastAsia="仿宋_GB2312"/>
          <w:b/>
        </w:rPr>
        <w:br w:type="page"/>
      </w:r>
    </w:p>
    <w:p>
      <w:pPr>
        <w:widowControl/>
        <w:spacing w:line="240" w:lineRule="auto"/>
        <w:jc w:val="left"/>
        <w:rPr>
          <w:rFonts w:ascii="宋体" w:hAnsi="宋体"/>
          <w:snapToGrid w:val="0"/>
          <w:kern w:val="0"/>
          <w:szCs w:val="21"/>
        </w:rPr>
      </w:pPr>
    </w:p>
    <w:p>
      <w:pPr>
        <w:widowControl/>
        <w:spacing w:line="240" w:lineRule="auto"/>
        <w:jc w:val="left"/>
        <w:rPr>
          <w:rFonts w:asciiTheme="minorEastAsia" w:hAnsiTheme="minorEastAsia" w:eastAsiaTheme="minorEastAsia"/>
          <w:szCs w:val="21"/>
        </w:rPr>
      </w:pPr>
    </w:p>
    <w:p>
      <w:pPr>
        <w:rPr>
          <w:rFonts w:asciiTheme="minorEastAsia" w:hAnsiTheme="minorEastAsia" w:eastAsiaTheme="minorEastAsia"/>
          <w:b/>
          <w:szCs w:val="21"/>
        </w:rPr>
        <w:sectPr>
          <w:pgSz w:w="11906" w:h="16838"/>
          <w:pgMar w:top="709" w:right="1276" w:bottom="992" w:left="1276" w:header="851" w:footer="834" w:gutter="0"/>
          <w:cols w:space="425" w:num="1"/>
          <w:docGrid w:linePitch="312" w:charSpace="0"/>
        </w:sectPr>
      </w:pPr>
    </w:p>
    <w:p>
      <w:pPr>
        <w:pStyle w:val="31"/>
        <w:jc w:val="both"/>
        <w:rPr>
          <w:rFonts w:hint="eastAsia" w:ascii="华文中宋" w:hAnsi="华文中宋" w:eastAsia="华文中宋"/>
          <w:b/>
          <w:sz w:val="32"/>
          <w:szCs w:val="32"/>
          <w:lang w:val="en-US" w:eastAsia="zh-CN"/>
        </w:rPr>
      </w:pPr>
      <w:r>
        <w:rPr>
          <w:rFonts w:hint="eastAsia" w:ascii="华文中宋" w:hAnsi="华文中宋" w:eastAsia="华文中宋"/>
          <w:b/>
          <w:sz w:val="32"/>
          <w:szCs w:val="32"/>
          <w:lang w:eastAsia="zh-CN"/>
        </w:rPr>
        <w:t>附件</w:t>
      </w:r>
      <w:r>
        <w:rPr>
          <w:rFonts w:hint="eastAsia" w:ascii="华文中宋" w:hAnsi="华文中宋" w:eastAsia="华文中宋"/>
          <w:b/>
          <w:sz w:val="32"/>
          <w:szCs w:val="32"/>
          <w:lang w:val="en-US" w:eastAsia="zh-CN"/>
        </w:rPr>
        <w:t>10：</w:t>
      </w:r>
    </w:p>
    <w:p>
      <w:pPr>
        <w:pStyle w:val="31"/>
        <w:ind w:firstLine="1602" w:firstLineChars="500"/>
        <w:jc w:val="both"/>
        <w:rPr>
          <w:rFonts w:ascii="华文中宋" w:hAnsi="华文中宋" w:eastAsia="华文中宋"/>
          <w:b/>
          <w:sz w:val="32"/>
          <w:szCs w:val="32"/>
        </w:rPr>
      </w:pPr>
      <w:r>
        <w:rPr>
          <w:rFonts w:hint="eastAsia" w:ascii="华文中宋" w:hAnsi="华文中宋" w:eastAsia="华文中宋"/>
          <w:b/>
          <w:sz w:val="32"/>
          <w:szCs w:val="32"/>
        </w:rPr>
        <w:t>高桥石化检维修工程预（结）算计价规定</w:t>
      </w:r>
    </w:p>
    <w:p>
      <w:pPr>
        <w:pStyle w:val="31"/>
        <w:jc w:val="center"/>
        <w:rPr>
          <w:rFonts w:ascii="黑体" w:eastAsia="黑体"/>
          <w:sz w:val="28"/>
          <w:szCs w:val="28"/>
        </w:rPr>
      </w:pPr>
      <w:r>
        <w:rPr>
          <w:rFonts w:hint="eastAsia" w:ascii="黑体" w:eastAsia="黑体"/>
          <w:sz w:val="28"/>
          <w:szCs w:val="28"/>
        </w:rPr>
        <w:t>（2023年版）</w:t>
      </w:r>
    </w:p>
    <w:p>
      <w:pPr>
        <w:spacing w:line="360" w:lineRule="atLeast"/>
        <w:rPr>
          <w:rFonts w:ascii="Times New Roman" w:hAnsi="Times New Roman" w:eastAsia="仿宋_GB2312"/>
          <w:sz w:val="28"/>
        </w:rPr>
      </w:pPr>
    </w:p>
    <w:p>
      <w:pPr>
        <w:spacing w:line="540" w:lineRule="exact"/>
        <w:ind w:firstLine="646" w:firstLineChars="202"/>
        <w:rPr>
          <w:rFonts w:ascii="仿宋_GB2312" w:hAnsi="Times New Roman" w:eastAsia="仿宋_GB2312"/>
          <w:sz w:val="32"/>
          <w:szCs w:val="28"/>
        </w:rPr>
      </w:pPr>
      <w:r>
        <w:rPr>
          <w:rFonts w:hint="eastAsia" w:ascii="仿宋_GB2312" w:hAnsi="Times New Roman" w:eastAsia="仿宋_GB2312"/>
          <w:sz w:val="32"/>
          <w:szCs w:val="28"/>
        </w:rPr>
        <w:t>一、适用范围</w:t>
      </w:r>
    </w:p>
    <w:p>
      <w:pPr>
        <w:spacing w:line="540" w:lineRule="exact"/>
        <w:ind w:firstLine="646" w:firstLineChars="202"/>
        <w:rPr>
          <w:rFonts w:ascii="仿宋_GB2312" w:hAnsi="Times New Roman" w:eastAsia="仿宋_GB2312"/>
          <w:sz w:val="32"/>
          <w:szCs w:val="28"/>
        </w:rPr>
      </w:pPr>
      <w:r>
        <w:rPr>
          <w:rFonts w:hint="eastAsia" w:ascii="仿宋_GB2312" w:hAnsi="Times New Roman" w:eastAsia="仿宋_GB2312"/>
          <w:sz w:val="32"/>
          <w:szCs w:val="28"/>
        </w:rPr>
        <w:t>本规定适用于高桥石化检维修工程项目。合同约定条款与本规定不同时，优先执行合同约定条款。</w:t>
      </w:r>
    </w:p>
    <w:p>
      <w:pPr>
        <w:spacing w:line="540" w:lineRule="exact"/>
        <w:ind w:firstLine="646" w:firstLineChars="202"/>
        <w:rPr>
          <w:rFonts w:ascii="仿宋_GB2312" w:hAnsi="Times New Roman" w:eastAsia="仿宋_GB2312"/>
          <w:sz w:val="32"/>
          <w:szCs w:val="28"/>
        </w:rPr>
      </w:pPr>
      <w:r>
        <w:rPr>
          <w:rFonts w:hint="eastAsia" w:ascii="仿宋_GB2312" w:hAnsi="Times New Roman" w:eastAsia="仿宋_GB2312"/>
          <w:sz w:val="32"/>
          <w:szCs w:val="28"/>
        </w:rPr>
        <w:t>二、定额选用标准</w:t>
      </w:r>
    </w:p>
    <w:p>
      <w:pPr>
        <w:spacing w:line="540" w:lineRule="exact"/>
        <w:ind w:firstLine="654" w:firstLineChars="202"/>
        <w:jc w:val="left"/>
        <w:rPr>
          <w:rFonts w:ascii="仿宋_GB2312" w:hAnsi="Times New Roman" w:eastAsia="仿宋_GB2312"/>
          <w:spacing w:val="2"/>
          <w:sz w:val="32"/>
          <w:szCs w:val="28"/>
        </w:rPr>
      </w:pPr>
      <w:r>
        <w:rPr>
          <w:rFonts w:hint="eastAsia" w:ascii="仿宋_GB2312" w:hAnsi="Times New Roman" w:eastAsia="仿宋_GB2312"/>
          <w:spacing w:val="2"/>
          <w:sz w:val="32"/>
          <w:szCs w:val="28"/>
        </w:rPr>
        <w:t>1.安装工程执行《石油化工行业检修工程预算定额》（2021版），软件为北京盛华实科技有限公司《石油化工检修工程计价应用软件》。</w:t>
      </w:r>
    </w:p>
    <w:p>
      <w:pPr>
        <w:spacing w:afterLines="50" w:line="540" w:lineRule="exact"/>
        <w:ind w:firstLine="648" w:firstLineChars="200"/>
        <w:jc w:val="left"/>
        <w:rPr>
          <w:rFonts w:ascii="仿宋_GB2312" w:hAnsi="Times New Roman" w:eastAsia="仿宋_GB2312"/>
          <w:spacing w:val="2"/>
          <w:sz w:val="32"/>
          <w:szCs w:val="28"/>
        </w:rPr>
      </w:pPr>
      <w:r>
        <w:rPr>
          <w:rFonts w:hint="eastAsia" w:ascii="仿宋_GB2312" w:hAnsi="Times New Roman" w:eastAsia="仿宋_GB2312"/>
          <w:spacing w:val="2"/>
          <w:sz w:val="32"/>
          <w:szCs w:val="28"/>
        </w:rPr>
        <w:t>2.土建工程执行</w:t>
      </w:r>
      <w:r>
        <w:rPr>
          <w:rFonts w:ascii="仿宋_GB2312" w:hAnsi="Times New Roman" w:eastAsia="仿宋_GB2312"/>
          <w:spacing w:val="2"/>
          <w:sz w:val="32"/>
          <w:szCs w:val="28"/>
        </w:rPr>
        <w:t>《上海市建筑</w:t>
      </w:r>
      <w:r>
        <w:rPr>
          <w:rFonts w:hint="eastAsia" w:ascii="仿宋_GB2312" w:hAnsi="Times New Roman" w:eastAsia="仿宋_GB2312"/>
          <w:spacing w:val="2"/>
          <w:sz w:val="32"/>
          <w:szCs w:val="28"/>
        </w:rPr>
        <w:t>和</w:t>
      </w:r>
      <w:r>
        <w:rPr>
          <w:rFonts w:ascii="仿宋_GB2312" w:hAnsi="Times New Roman" w:eastAsia="仿宋_GB2312"/>
          <w:spacing w:val="2"/>
          <w:sz w:val="32"/>
          <w:szCs w:val="28"/>
        </w:rPr>
        <w:t>装饰工程预算定额》（20</w:t>
      </w:r>
      <w:r>
        <w:rPr>
          <w:rFonts w:hint="eastAsia" w:ascii="仿宋_GB2312" w:hAnsi="Times New Roman" w:eastAsia="仿宋_GB2312"/>
          <w:spacing w:val="2"/>
          <w:sz w:val="32"/>
          <w:szCs w:val="28"/>
        </w:rPr>
        <w:t>16</w:t>
      </w:r>
      <w:r>
        <w:rPr>
          <w:rFonts w:ascii="仿宋_GB2312" w:hAnsi="Times New Roman" w:eastAsia="仿宋_GB2312"/>
          <w:spacing w:val="2"/>
          <w:sz w:val="32"/>
          <w:szCs w:val="28"/>
        </w:rPr>
        <w:t>版）</w:t>
      </w:r>
      <w:r>
        <w:rPr>
          <w:rFonts w:hint="eastAsia" w:ascii="仿宋_GB2312" w:hAnsi="Times New Roman" w:eastAsia="仿宋_GB2312"/>
          <w:spacing w:val="2"/>
          <w:sz w:val="32"/>
          <w:szCs w:val="28"/>
        </w:rPr>
        <w:t>，</w:t>
      </w:r>
      <w:r>
        <w:rPr>
          <w:rFonts w:ascii="仿宋_GB2312" w:hAnsi="Times New Roman" w:eastAsia="仿宋_GB2312"/>
          <w:spacing w:val="2"/>
          <w:sz w:val="32"/>
          <w:szCs w:val="28"/>
        </w:rPr>
        <w:t>定额人工费按1</w:t>
      </w:r>
      <w:r>
        <w:rPr>
          <w:rFonts w:hint="eastAsia" w:ascii="仿宋_GB2312" w:hAnsi="Times New Roman" w:eastAsia="仿宋_GB2312"/>
          <w:spacing w:val="2"/>
          <w:sz w:val="32"/>
          <w:szCs w:val="28"/>
        </w:rPr>
        <w:t>36</w:t>
      </w:r>
      <w:r>
        <w:rPr>
          <w:rFonts w:ascii="仿宋_GB2312" w:hAnsi="Times New Roman" w:eastAsia="仿宋_GB2312"/>
          <w:spacing w:val="2"/>
          <w:sz w:val="32"/>
          <w:szCs w:val="28"/>
        </w:rPr>
        <w:t>元/工日计</w:t>
      </w:r>
      <w:r>
        <w:rPr>
          <w:rFonts w:hint="eastAsia" w:ascii="仿宋_GB2312" w:hAnsi="Times New Roman" w:eastAsia="仿宋_GB2312"/>
          <w:spacing w:val="2"/>
          <w:sz w:val="32"/>
          <w:szCs w:val="28"/>
        </w:rPr>
        <w:t>；房屋修缮工程执行《上海市房屋建筑工程养护维修预算定额》（2016）</w:t>
      </w:r>
      <w:r>
        <w:rPr>
          <w:rFonts w:ascii="仿宋_GB2312" w:hAnsi="Times New Roman" w:eastAsia="仿宋_GB2312"/>
          <w:spacing w:val="2"/>
          <w:sz w:val="32"/>
          <w:szCs w:val="28"/>
        </w:rPr>
        <w:t>定额人工费按1</w:t>
      </w:r>
      <w:r>
        <w:rPr>
          <w:rFonts w:hint="eastAsia" w:ascii="仿宋_GB2312" w:hAnsi="Times New Roman" w:eastAsia="仿宋_GB2312"/>
          <w:spacing w:val="2"/>
          <w:sz w:val="32"/>
          <w:szCs w:val="28"/>
        </w:rPr>
        <w:t>36</w:t>
      </w:r>
      <w:r>
        <w:rPr>
          <w:rFonts w:ascii="仿宋_GB2312" w:hAnsi="Times New Roman" w:eastAsia="仿宋_GB2312"/>
          <w:spacing w:val="2"/>
          <w:sz w:val="32"/>
          <w:szCs w:val="28"/>
        </w:rPr>
        <w:t>元/工日计</w:t>
      </w:r>
      <w:r>
        <w:rPr>
          <w:rFonts w:hint="eastAsia" w:ascii="仿宋_GB2312" w:hAnsi="Times New Roman" w:eastAsia="仿宋_GB2312"/>
          <w:spacing w:val="2"/>
          <w:sz w:val="32"/>
          <w:szCs w:val="28"/>
        </w:rPr>
        <w:t>，</w:t>
      </w:r>
      <w:r>
        <w:rPr>
          <w:rFonts w:ascii="仿宋_GB2312" w:hAnsi="Times New Roman" w:eastAsia="仿宋_GB2312"/>
          <w:spacing w:val="2"/>
          <w:sz w:val="32"/>
          <w:szCs w:val="28"/>
        </w:rPr>
        <w:t>绿化专业</w:t>
      </w:r>
      <w:r>
        <w:rPr>
          <w:rFonts w:hint="eastAsia" w:ascii="仿宋_GB2312" w:hAnsi="Times New Roman" w:eastAsia="仿宋_GB2312"/>
          <w:spacing w:val="2"/>
          <w:sz w:val="32"/>
          <w:szCs w:val="28"/>
        </w:rPr>
        <w:t>执行</w:t>
      </w:r>
      <w:r>
        <w:rPr>
          <w:rFonts w:ascii="仿宋_GB2312" w:hAnsi="Times New Roman" w:eastAsia="仿宋_GB2312"/>
          <w:spacing w:val="2"/>
          <w:sz w:val="32"/>
          <w:szCs w:val="28"/>
        </w:rPr>
        <w:t>《上海市园林工程预算定额》（2016）</w:t>
      </w:r>
      <w:r>
        <w:rPr>
          <w:rFonts w:hint="eastAsia" w:ascii="仿宋_GB2312" w:hAnsi="Times New Roman" w:eastAsia="仿宋_GB2312"/>
          <w:spacing w:val="2"/>
          <w:sz w:val="32"/>
          <w:szCs w:val="28"/>
        </w:rPr>
        <w:t>，</w:t>
      </w:r>
      <w:r>
        <w:rPr>
          <w:rFonts w:ascii="仿宋_GB2312" w:hAnsi="Times New Roman" w:eastAsia="仿宋_GB2312"/>
          <w:spacing w:val="2"/>
          <w:sz w:val="32"/>
          <w:szCs w:val="28"/>
        </w:rPr>
        <w:t>定额人工费按</w:t>
      </w:r>
      <w:r>
        <w:rPr>
          <w:rFonts w:hint="eastAsia" w:ascii="仿宋_GB2312" w:hAnsi="Times New Roman" w:eastAsia="仿宋_GB2312"/>
          <w:spacing w:val="2"/>
          <w:sz w:val="32"/>
          <w:szCs w:val="28"/>
        </w:rPr>
        <w:t>100</w:t>
      </w:r>
      <w:r>
        <w:rPr>
          <w:rFonts w:ascii="仿宋_GB2312" w:hAnsi="Times New Roman" w:eastAsia="仿宋_GB2312"/>
          <w:spacing w:val="2"/>
          <w:sz w:val="32"/>
          <w:szCs w:val="28"/>
        </w:rPr>
        <w:t>元/工日计</w:t>
      </w:r>
      <w:r>
        <w:rPr>
          <w:rFonts w:hint="eastAsia" w:ascii="仿宋_GB2312" w:hAnsi="Times New Roman" w:eastAsia="仿宋_GB2312"/>
          <w:spacing w:val="2"/>
          <w:sz w:val="32"/>
          <w:szCs w:val="28"/>
        </w:rPr>
        <w:t>。</w:t>
      </w:r>
      <w:r>
        <w:rPr>
          <w:rFonts w:ascii="仿宋_GB2312" w:hAnsi="Times New Roman" w:eastAsia="仿宋_GB2312"/>
          <w:spacing w:val="2"/>
          <w:sz w:val="32"/>
          <w:szCs w:val="28"/>
        </w:rPr>
        <w:t>企业管理费和利润费率</w:t>
      </w:r>
      <w:r>
        <w:rPr>
          <w:rFonts w:hint="eastAsia" w:ascii="仿宋_GB2312" w:hAnsi="Times New Roman" w:eastAsia="仿宋_GB2312"/>
          <w:spacing w:val="2"/>
          <w:sz w:val="32"/>
          <w:szCs w:val="28"/>
        </w:rPr>
        <w:t>取费率区间最低值。软件为广联达科技有限公司云计价平台。</w:t>
      </w:r>
    </w:p>
    <w:p>
      <w:pPr>
        <w:spacing w:afterLines="50" w:line="540" w:lineRule="exact"/>
        <w:ind w:firstLine="648" w:firstLineChars="200"/>
        <w:jc w:val="left"/>
        <w:rPr>
          <w:rFonts w:ascii="仿宋_GB2312" w:hAnsi="Times New Roman" w:eastAsia="仿宋_GB2312"/>
          <w:spacing w:val="2"/>
          <w:sz w:val="32"/>
          <w:szCs w:val="28"/>
        </w:rPr>
      </w:pPr>
      <w:r>
        <w:rPr>
          <w:rFonts w:hint="eastAsia" w:ascii="仿宋_GB2312" w:hAnsi="Times New Roman" w:eastAsia="仿宋_GB2312"/>
          <w:spacing w:val="2"/>
          <w:sz w:val="32"/>
          <w:szCs w:val="28"/>
        </w:rPr>
        <w:t>3. 抢修工程执行上述定额时，定额人、机增加50%。脚手单价增计</w:t>
      </w:r>
      <w:r>
        <w:rPr>
          <w:rFonts w:hint="eastAsia" w:ascii="仿宋_GB2312" w:hAnsi="Times New Roman" w:eastAsia="仿宋_GB2312"/>
          <w:spacing w:val="2"/>
          <w:sz w:val="32"/>
          <w:szCs w:val="28"/>
          <w:highlight w:val="none"/>
        </w:rPr>
        <w:t>25%</w:t>
      </w:r>
      <w:r>
        <w:rPr>
          <w:rFonts w:hint="eastAsia" w:ascii="仿宋_GB2312" w:hAnsi="Times New Roman" w:eastAsia="仿宋_GB2312"/>
          <w:spacing w:val="2"/>
          <w:sz w:val="32"/>
          <w:szCs w:val="28"/>
        </w:rPr>
        <w:t xml:space="preserve"> 。</w:t>
      </w:r>
    </w:p>
    <w:p>
      <w:pPr>
        <w:spacing w:line="540" w:lineRule="exact"/>
        <w:ind w:firstLine="648" w:firstLineChars="200"/>
        <w:rPr>
          <w:rFonts w:ascii="仿宋_GB2312" w:hAnsi="Times New Roman" w:eastAsia="仿宋_GB2312"/>
          <w:spacing w:val="2"/>
          <w:sz w:val="28"/>
          <w:szCs w:val="28"/>
        </w:rPr>
      </w:pPr>
      <w:r>
        <w:rPr>
          <w:rFonts w:hint="eastAsia" w:ascii="仿宋_GB2312" w:hAnsi="Times New Roman" w:eastAsia="仿宋_GB2312"/>
          <w:spacing w:val="2"/>
          <w:sz w:val="32"/>
          <w:szCs w:val="28"/>
        </w:rPr>
        <w:t>4.安装工程水电费按结算价（不含主材费）1.2%扣除，执行《石油化工行业检修工程预算定额》（2021版）的不需扣除水电费（定额中未含水电费）；土建、房修工程水电费按结算价（含材料费）的0.5%扣除。项目没有水电消耗的不扣水电费</w:t>
      </w:r>
      <w:r>
        <w:rPr>
          <w:rFonts w:hint="eastAsia" w:ascii="仿宋_GB2312" w:hAnsi="Times New Roman" w:eastAsia="仿宋_GB2312"/>
          <w:spacing w:val="2"/>
          <w:sz w:val="28"/>
          <w:szCs w:val="28"/>
        </w:rPr>
        <w:t>。</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三、检维修脚手架计价规则</w:t>
      </w:r>
    </w:p>
    <w:p>
      <w:pPr>
        <w:spacing w:line="540" w:lineRule="exact"/>
        <w:ind w:firstLine="486" w:firstLineChars="150"/>
        <w:rPr>
          <w:rFonts w:ascii="仿宋_GB2312" w:hAnsi="Times New Roman" w:eastAsia="仿宋_GB2312"/>
          <w:spacing w:val="2"/>
          <w:sz w:val="32"/>
          <w:szCs w:val="28"/>
        </w:rPr>
      </w:pPr>
      <w:r>
        <w:rPr>
          <w:rFonts w:hint="eastAsia" w:ascii="仿宋_GB2312" w:hAnsi="Times New Roman" w:eastAsia="仿宋_GB2312"/>
          <w:spacing w:val="2"/>
          <w:sz w:val="32"/>
          <w:szCs w:val="28"/>
        </w:rPr>
        <w:t>1. 安装工程执行《石油化工行业检修工程预算定额》（2021版）时，装置停工检修（消缺）的脚手架搭拆费（包含检验检测脚手，不包含立杆超高24米的脚手架）按施工费(不包含施工队伍调遣费，脚手架搭拆费)的9%计取。</w:t>
      </w:r>
    </w:p>
    <w:p>
      <w:pPr>
        <w:spacing w:line="540" w:lineRule="exact"/>
        <w:ind w:firstLine="324" w:firstLineChars="100"/>
        <w:rPr>
          <w:rFonts w:ascii="仿宋_GB2312" w:hAnsi="Times New Roman" w:eastAsia="仿宋_GB2312"/>
          <w:spacing w:val="2"/>
          <w:sz w:val="32"/>
          <w:szCs w:val="28"/>
        </w:rPr>
      </w:pPr>
      <w:r>
        <w:rPr>
          <w:rFonts w:hint="eastAsia" w:ascii="仿宋_GB2312" w:hAnsi="Times New Roman" w:eastAsia="仿宋_GB2312"/>
          <w:spacing w:val="2"/>
          <w:sz w:val="32"/>
          <w:szCs w:val="28"/>
        </w:rPr>
        <w:t>2. 催化装置停工检修两器内部脚手架按包干费用（2#催化装置314200元/次、3#催化装置393400元/次，税前</w:t>
      </w:r>
      <w:r>
        <w:rPr>
          <w:rFonts w:ascii="仿宋_GB2312" w:hAnsi="Times New Roman" w:eastAsia="仿宋_GB2312"/>
          <w:spacing w:val="2"/>
          <w:sz w:val="32"/>
          <w:szCs w:val="28"/>
        </w:rPr>
        <w:t>）</w:t>
      </w:r>
      <w:r>
        <w:rPr>
          <w:rFonts w:hint="eastAsia" w:ascii="仿宋_GB2312" w:hAnsi="Times New Roman" w:eastAsia="仿宋_GB2312"/>
          <w:spacing w:val="2"/>
          <w:sz w:val="32"/>
          <w:szCs w:val="28"/>
        </w:rPr>
        <w:t>计价，此费用包括脚手架正常</w:t>
      </w:r>
      <w:r>
        <w:rPr>
          <w:rFonts w:ascii="仿宋_GB2312" w:hAnsi="Times New Roman" w:eastAsia="仿宋_GB2312"/>
          <w:spacing w:val="2"/>
          <w:sz w:val="32"/>
          <w:szCs w:val="28"/>
        </w:rPr>
        <w:t>的</w:t>
      </w:r>
      <w:r>
        <w:rPr>
          <w:rFonts w:hint="eastAsia" w:ascii="仿宋_GB2312" w:hAnsi="Times New Roman" w:eastAsia="仿宋_GB2312"/>
          <w:spacing w:val="2"/>
          <w:sz w:val="32"/>
          <w:szCs w:val="28"/>
        </w:rPr>
        <w:t>重复搭设、脚手架管和钢跳板损坏等费用。</w:t>
      </w:r>
    </w:p>
    <w:p>
      <w:pPr>
        <w:spacing w:line="540" w:lineRule="exact"/>
        <w:ind w:firstLine="324" w:firstLineChars="100"/>
        <w:rPr>
          <w:rFonts w:ascii="仿宋_GB2312" w:hAnsi="Times New Roman" w:eastAsia="仿宋_GB2312"/>
          <w:spacing w:val="2"/>
          <w:sz w:val="32"/>
          <w:szCs w:val="28"/>
        </w:rPr>
      </w:pPr>
      <w:r>
        <w:rPr>
          <w:rFonts w:hint="eastAsia" w:ascii="仿宋_GB2312" w:hAnsi="Times New Roman" w:eastAsia="仿宋_GB2312"/>
          <w:spacing w:val="2"/>
          <w:sz w:val="32"/>
          <w:szCs w:val="28"/>
        </w:rPr>
        <w:t>3. 安装工程执行《石油化工行业检修工程预算定额》（2021版）时，立杆超高24米的脚手架、日常检维修脚手架不套用定额，按以下计价规则结算。</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（1）双排钢管脚手：高度≤20m，按28元/ m2税前计价；高度＞20m，按31元/ m2税前计价。</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（2）设备内部双排钢管脚手按照按双排钢管脚手价格增加20%计算。</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（3）双排钢管脚手基本宽度为1.2米，每增加1.2米宽增计50%，不足60cm的不计算增加费用。双排脚手架工期按一个月计算，工期每超过半个月增计2元/ m2，不足半个月不计算增加。</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（4）设备内部满堂钢管脚手（含沿器壁搭设的双排脚手）：按14元/ m3税前计价。设备内部满堂钢管脚手（无沿器壁搭设的双排脚手）：按12元/ m3税前计价。储罐内部满堂钢管脚手搭拆工作量按不超过储罐公称容积计算。</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（5）满堂钢管脚手按10元/ m3税前计价。</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（6）设备内部满堂钢管脚手、满堂钢管脚手工期按一个月计算，工期每超过半个月设备内部满堂钢管脚手增计1元/ m3，满堂钢管脚手增计0.5元/ m3，不足半个月不计算增加。</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（7）设备外围脚手面积=（设备外径×3.14+3.60m）×搭设高度。</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（8）球罐外脚手面积=（球罐直径×3.14+3.60m）×地面到球罐顶高度+0.25×3.14×球罐直径的平方。</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（9）其他特殊类型脚手协商价格，按批价结算。</w:t>
      </w:r>
    </w:p>
    <w:p>
      <w:pPr>
        <w:spacing w:line="540" w:lineRule="exact"/>
        <w:ind w:firstLine="648" w:firstLineChars="200"/>
        <w:rPr>
          <w:rFonts w:ascii="仿宋_GB2312" w:hAnsi="Times New Roman" w:eastAsia="仿宋_GB2312"/>
          <w:spacing w:val="2"/>
          <w:sz w:val="32"/>
          <w:szCs w:val="28"/>
        </w:rPr>
      </w:pPr>
      <w:r>
        <w:rPr>
          <w:rFonts w:hint="eastAsia" w:ascii="仿宋_GB2312" w:hAnsi="Times New Roman" w:eastAsia="仿宋_GB2312"/>
          <w:spacing w:val="2"/>
          <w:sz w:val="32"/>
          <w:szCs w:val="28"/>
        </w:rPr>
        <w:t>4.房屋修缮工程执行《上海市房屋建筑工程养护维修预算定额》（2016）版时，脚手架搭拆执行《上海市房屋建筑工程养护维修预算定额》（2016）版定额计价计量规则。</w:t>
      </w:r>
    </w:p>
    <w:p>
      <w:pPr>
        <w:spacing w:line="540" w:lineRule="exact"/>
        <w:ind w:firstLine="648" w:firstLineChars="200"/>
        <w:rPr>
          <w:rFonts w:ascii="仿宋_GB2312" w:hAnsi="Times New Roman" w:eastAsia="仿宋_GB2312"/>
          <w:spacing w:val="2"/>
          <w:sz w:val="32"/>
          <w:szCs w:val="28"/>
          <w:highlight w:val="none"/>
        </w:rPr>
      </w:pPr>
      <w:r>
        <w:rPr>
          <w:rFonts w:hint="eastAsia" w:ascii="仿宋_GB2312" w:hAnsi="Times New Roman" w:eastAsia="仿宋_GB2312"/>
          <w:spacing w:val="2"/>
          <w:sz w:val="32"/>
          <w:szCs w:val="28"/>
          <w:highlight w:val="none"/>
        </w:rPr>
        <w:t>5. 为体现专业服务优质优价，执行第1条的费率和第3条的脚手单价时，按上年度施工承包商脚手专业考评名次进行价格浮动。考评第一名费率或单价可上浮10%，第二名费率或单价可上浮5%；倒数第一名费率或单价可下浮10%，倒数第二名费率或单价可下浮5%。</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四、起重运输等机械台班计价规则</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28"/>
        </w:rPr>
        <w:t>1.对于定额子目已组合的</w:t>
      </w:r>
      <w:r>
        <w:rPr>
          <w:rFonts w:hint="eastAsia" w:ascii="仿宋_GB2312" w:hAnsi="Times New Roman" w:eastAsia="仿宋_GB2312"/>
          <w:bCs/>
          <w:sz w:val="32"/>
          <w:szCs w:val="28"/>
        </w:rPr>
        <w:t>150吨及以下吊车台班（工业管道工程50吨及以下）吊车台班及运输车台班，不另行计费。特殊情况按签证的台班计算，</w:t>
      </w:r>
      <w:r>
        <w:rPr>
          <w:rFonts w:hint="eastAsia" w:ascii="仿宋_GB2312" w:hAnsi="Times New Roman" w:eastAsia="仿宋_GB2312"/>
          <w:spacing w:val="2"/>
          <w:sz w:val="32"/>
          <w:szCs w:val="28"/>
        </w:rPr>
        <w:t>应扣除定额中组合的相应吊装机械（主吊）或运输机械费用。</w:t>
      </w:r>
    </w:p>
    <w:p>
      <w:pPr>
        <w:spacing w:line="540" w:lineRule="exact"/>
        <w:ind w:firstLine="646" w:firstLineChars="202"/>
        <w:rPr>
          <w:rFonts w:ascii="仿宋_GB2312" w:hAnsi="Times New Roman" w:eastAsia="仿宋_GB2312"/>
          <w:bCs/>
          <w:sz w:val="32"/>
          <w:szCs w:val="28"/>
        </w:rPr>
      </w:pPr>
      <w:r>
        <w:rPr>
          <w:rFonts w:hint="eastAsia" w:ascii="仿宋_GB2312" w:hAnsi="Times New Roman" w:eastAsia="仿宋_GB2312"/>
          <w:bCs/>
          <w:sz w:val="32"/>
          <w:szCs w:val="28"/>
        </w:rPr>
        <w:t>2.材料领用运输费不计。从仓库运输设备至施工现场，可按签证计取运输台班。设备需施工单位使用自己的吊车装车时，可按签证计取装车台班。</w:t>
      </w:r>
    </w:p>
    <w:p>
      <w:pPr>
        <w:spacing w:line="540" w:lineRule="exact"/>
        <w:ind w:firstLine="646" w:firstLineChars="202"/>
        <w:rPr>
          <w:rFonts w:ascii="仿宋_GB2312" w:hAnsi="Times New Roman" w:eastAsia="仿宋_GB2312"/>
          <w:bCs/>
          <w:sz w:val="32"/>
          <w:szCs w:val="28"/>
        </w:rPr>
      </w:pPr>
      <w:r>
        <w:rPr>
          <w:rFonts w:hint="eastAsia" w:ascii="仿宋_GB2312" w:hAnsi="Times New Roman" w:eastAsia="仿宋_GB2312"/>
          <w:bCs/>
          <w:sz w:val="32"/>
          <w:szCs w:val="28"/>
        </w:rPr>
        <w:t>3.建筑垃圾、渣土等拆除物运输至设备动力部指定厂内堆放点，不计运费。特殊情况另行协商计价。</w:t>
      </w:r>
    </w:p>
    <w:p>
      <w:pPr>
        <w:spacing w:line="540" w:lineRule="exact"/>
        <w:ind w:firstLine="646" w:firstLineChars="202"/>
        <w:rPr>
          <w:rFonts w:ascii="仿宋_GB2312" w:hAnsi="Times New Roman" w:eastAsia="仿宋_GB2312"/>
          <w:bCs/>
          <w:sz w:val="32"/>
          <w:szCs w:val="28"/>
        </w:rPr>
      </w:pPr>
      <w:r>
        <w:rPr>
          <w:rFonts w:hint="eastAsia" w:ascii="仿宋_GB2312" w:hAnsi="Times New Roman" w:eastAsia="仿宋_GB2312"/>
          <w:bCs/>
          <w:sz w:val="32"/>
          <w:szCs w:val="28"/>
        </w:rPr>
        <w:t>4.金属拆除物清运至设备动力部指定的厂内堆放地点，运输与装卸费用不予计取。</w:t>
      </w:r>
    </w:p>
    <w:p>
      <w:pPr>
        <w:spacing w:line="540" w:lineRule="exact"/>
        <w:ind w:firstLine="646" w:firstLineChars="202"/>
        <w:rPr>
          <w:rFonts w:ascii="仿宋_GB2312" w:hAnsi="Times New Roman" w:eastAsia="仿宋_GB2312"/>
          <w:bCs/>
          <w:sz w:val="32"/>
          <w:szCs w:val="28"/>
        </w:rPr>
      </w:pPr>
      <w:r>
        <w:rPr>
          <w:rFonts w:hint="eastAsia" w:ascii="仿宋_GB2312" w:hAnsi="Times New Roman" w:eastAsia="仿宋_GB2312"/>
          <w:bCs/>
          <w:sz w:val="32"/>
          <w:szCs w:val="28"/>
        </w:rPr>
        <w:t>5.废旧设备运输按签证台班计取运输和卸车台班，装车吊机台班不计。</w:t>
      </w:r>
    </w:p>
    <w:p>
      <w:pPr>
        <w:spacing w:line="540" w:lineRule="exact"/>
        <w:ind w:firstLine="646" w:firstLineChars="202"/>
        <w:rPr>
          <w:rFonts w:ascii="仿宋_GB2312" w:hAnsi="Times New Roman" w:eastAsia="仿宋_GB2312"/>
          <w:spacing w:val="2"/>
          <w:sz w:val="32"/>
          <w:szCs w:val="28"/>
        </w:rPr>
      </w:pPr>
      <w:r>
        <w:rPr>
          <w:rFonts w:hint="eastAsia" w:ascii="仿宋_GB2312" w:hAnsi="Times New Roman" w:eastAsia="仿宋_GB2312"/>
          <w:bCs/>
          <w:sz w:val="32"/>
          <w:szCs w:val="28"/>
        </w:rPr>
        <w:t>6.大型机械的台班费和进出场费、经甲方签证的其他机械台班按下列价格计取：</w:t>
      </w:r>
    </w:p>
    <w:p>
      <w:pPr>
        <w:spacing w:line="540" w:lineRule="exact"/>
        <w:ind w:firstLine="646" w:firstLineChars="202"/>
        <w:rPr>
          <w:rFonts w:ascii="仿宋_GB2312" w:hAnsi="Times New Roman" w:eastAsia="仿宋_GB2312"/>
          <w:bCs/>
          <w:sz w:val="32"/>
          <w:szCs w:val="28"/>
        </w:rPr>
      </w:pPr>
      <w:r>
        <w:rPr>
          <w:rFonts w:hint="eastAsia" w:ascii="仿宋_GB2312" w:hAnsi="Times New Roman" w:eastAsia="仿宋_GB2312"/>
          <w:bCs/>
          <w:sz w:val="32"/>
          <w:szCs w:val="28"/>
        </w:rPr>
        <w:t>（1）≤20吨的汽车按6元/吨·小时。长途包车运输按批价计取，平板拖车组按下表税前计价:</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1929"/>
        <w:gridCol w:w="1870"/>
        <w:gridCol w:w="20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吨位（吨）</w:t>
            </w:r>
          </w:p>
        </w:tc>
        <w:tc>
          <w:tcPr>
            <w:tcW w:w="1929"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台班费（元）</w:t>
            </w:r>
          </w:p>
        </w:tc>
        <w:tc>
          <w:tcPr>
            <w:tcW w:w="1870"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吨位（吨）</w:t>
            </w:r>
          </w:p>
        </w:tc>
        <w:tc>
          <w:tcPr>
            <w:tcW w:w="201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台班费（元）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10</w:t>
            </w:r>
          </w:p>
        </w:tc>
        <w:tc>
          <w:tcPr>
            <w:tcW w:w="1929"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1150</w:t>
            </w:r>
          </w:p>
        </w:tc>
        <w:tc>
          <w:tcPr>
            <w:tcW w:w="1870"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40</w:t>
            </w:r>
          </w:p>
        </w:tc>
        <w:tc>
          <w:tcPr>
            <w:tcW w:w="201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15</w:t>
            </w:r>
          </w:p>
        </w:tc>
        <w:tc>
          <w:tcPr>
            <w:tcW w:w="1929"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1250</w:t>
            </w:r>
          </w:p>
        </w:tc>
        <w:tc>
          <w:tcPr>
            <w:tcW w:w="1870"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50</w:t>
            </w:r>
          </w:p>
        </w:tc>
        <w:tc>
          <w:tcPr>
            <w:tcW w:w="201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20</w:t>
            </w:r>
          </w:p>
        </w:tc>
        <w:tc>
          <w:tcPr>
            <w:tcW w:w="1929"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1350</w:t>
            </w:r>
          </w:p>
        </w:tc>
        <w:tc>
          <w:tcPr>
            <w:tcW w:w="1870"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60</w:t>
            </w:r>
          </w:p>
        </w:tc>
        <w:tc>
          <w:tcPr>
            <w:tcW w:w="201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30</w:t>
            </w:r>
          </w:p>
        </w:tc>
        <w:tc>
          <w:tcPr>
            <w:tcW w:w="1929"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1500</w:t>
            </w:r>
          </w:p>
        </w:tc>
        <w:tc>
          <w:tcPr>
            <w:tcW w:w="1870"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80</w:t>
            </w:r>
          </w:p>
        </w:tc>
        <w:tc>
          <w:tcPr>
            <w:tcW w:w="2013" w:type="dxa"/>
          </w:tcPr>
          <w:p>
            <w:pPr>
              <w:pStyle w:val="26"/>
              <w:ind w:firstLine="0" w:firstLineChars="0"/>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2100</w:t>
            </w:r>
          </w:p>
        </w:tc>
      </w:tr>
    </w:tbl>
    <w:p>
      <w:pPr>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 铲车及≤100吨的汽车起重机按9元/吨·小时；≤200吨的汽车起重机按10元/吨·小时，200吨以上的汽车起重机按10.7元/吨· 小时税前计价。起重机满足包月条件的应采用包月租赁方式，包月价按20个台班费计算。</w:t>
      </w:r>
    </w:p>
    <w:p>
      <w:pPr>
        <w:spacing w:line="540" w:lineRule="exact"/>
        <w:ind w:firstLine="640" w:firstLineChars="200"/>
        <w:rPr>
          <w:rFonts w:ascii="仿宋_GB2312" w:hAnsi="Times New Roman" w:eastAsia="仿宋_GB2312"/>
          <w:bCs/>
          <w:color w:val="FF0000"/>
          <w:sz w:val="32"/>
          <w:szCs w:val="32"/>
        </w:rPr>
      </w:pPr>
      <w:r>
        <w:rPr>
          <w:rFonts w:hint="eastAsia" w:ascii="仿宋_GB2312" w:hAnsi="Times New Roman" w:eastAsia="仿宋_GB2312"/>
          <w:bCs/>
          <w:sz w:val="32"/>
          <w:szCs w:val="32"/>
        </w:rPr>
        <w:t>（3）300吨及以上汽车吊、150吨及以上的履带吊方可按下表计取进出场费：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5"/>
        <w:gridCol w:w="1701"/>
        <w:gridCol w:w="1984"/>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吊车类型</w:t>
            </w:r>
          </w:p>
        </w:tc>
        <w:tc>
          <w:tcPr>
            <w:tcW w:w="1701" w:type="dxa"/>
          </w:tcPr>
          <w:p>
            <w:pPr>
              <w:spacing w:line="400" w:lineRule="atLeast"/>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设备型号</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台班费</w:t>
            </w:r>
          </w:p>
        </w:tc>
        <w:tc>
          <w:tcPr>
            <w:tcW w:w="2410" w:type="dxa"/>
          </w:tcPr>
          <w:p>
            <w:pPr>
              <w:spacing w:line="400" w:lineRule="atLeast"/>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进出场费（台.次）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汽车吊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300吨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25680元</w:t>
            </w:r>
          </w:p>
        </w:tc>
        <w:tc>
          <w:tcPr>
            <w:tcW w:w="2410" w:type="dxa"/>
          </w:tcPr>
          <w:p>
            <w:pPr>
              <w:spacing w:line="400" w:lineRule="atLeast"/>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全工况1.3万元，其它工况0.65万元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汽车吊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38520元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2.6万元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汽车吊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500吨</w:t>
            </w:r>
          </w:p>
        </w:tc>
        <w:tc>
          <w:tcPr>
            <w:tcW w:w="1984" w:type="dxa"/>
          </w:tcPr>
          <w:p>
            <w:pPr>
              <w:spacing w:line="400" w:lineRule="atLeast"/>
              <w:ind w:firstLine="560" w:firstLineChars="200"/>
              <w:rPr>
                <w:rFonts w:ascii="仿宋_GB2312" w:hAnsi="Times New Roman" w:eastAsia="仿宋_GB2312" w:cstheme="minorBidi"/>
                <w:bCs/>
                <w:sz w:val="28"/>
                <w:szCs w:val="28"/>
                <w:highlight w:val="yellow"/>
              </w:rPr>
            </w:pPr>
            <w:r>
              <w:rPr>
                <w:rFonts w:hint="eastAsia" w:ascii="仿宋_GB2312" w:hAnsi="Times New Roman" w:eastAsia="仿宋_GB2312" w:cstheme="minorBidi"/>
                <w:bCs/>
                <w:sz w:val="28"/>
                <w:szCs w:val="28"/>
              </w:rPr>
              <w:t>42800元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color w:val="000000" w:themeColor="text1"/>
                <w:sz w:val="28"/>
                <w:szCs w:val="28"/>
                <w14:textFill>
                  <w14:solidFill>
                    <w14:schemeClr w14:val="tx1"/>
                  </w14:solidFill>
                </w14:textFill>
              </w:rPr>
            </w:pPr>
            <w:r>
              <w:rPr>
                <w:rFonts w:hint="eastAsia" w:ascii="仿宋_GB2312" w:hAnsi="Times New Roman" w:eastAsia="仿宋_GB2312" w:cstheme="minorBidi"/>
                <w:bCs/>
                <w:color w:val="000000" w:themeColor="text1"/>
                <w:sz w:val="28"/>
                <w:szCs w:val="28"/>
                <w14:textFill>
                  <w14:solidFill>
                    <w14:schemeClr w14:val="tx1"/>
                  </w14:solidFill>
                </w14:textFill>
              </w:rPr>
              <w:t>汽车吊</w:t>
            </w:r>
          </w:p>
        </w:tc>
        <w:tc>
          <w:tcPr>
            <w:tcW w:w="1701" w:type="dxa"/>
          </w:tcPr>
          <w:p>
            <w:pPr>
              <w:spacing w:line="400" w:lineRule="atLeast"/>
              <w:jc w:val="center"/>
              <w:rPr>
                <w:rFonts w:ascii="仿宋_GB2312" w:hAnsi="Times New Roman" w:eastAsia="仿宋_GB2312" w:cstheme="minorBidi"/>
                <w:bCs/>
                <w:color w:val="000000" w:themeColor="text1"/>
                <w:sz w:val="28"/>
                <w:szCs w:val="28"/>
                <w14:textFill>
                  <w14:solidFill>
                    <w14:schemeClr w14:val="tx1"/>
                  </w14:solidFill>
                </w14:textFill>
              </w:rPr>
            </w:pPr>
            <w:r>
              <w:rPr>
                <w:rFonts w:hint="eastAsia" w:ascii="仿宋_GB2312" w:hAnsi="Times New Roman" w:eastAsia="仿宋_GB2312" w:cstheme="minorBidi"/>
                <w:bCs/>
                <w:color w:val="000000" w:themeColor="text1"/>
                <w:sz w:val="28"/>
                <w:szCs w:val="28"/>
                <w14:textFill>
                  <w14:solidFill>
                    <w14:schemeClr w14:val="tx1"/>
                  </w14:solidFill>
                </w14:textFill>
              </w:rPr>
              <w:t>650吨</w:t>
            </w:r>
          </w:p>
        </w:tc>
        <w:tc>
          <w:tcPr>
            <w:tcW w:w="1984" w:type="dxa"/>
          </w:tcPr>
          <w:p>
            <w:pPr>
              <w:spacing w:line="400" w:lineRule="atLeast"/>
              <w:ind w:firstLine="560" w:firstLineChars="200"/>
              <w:rPr>
                <w:rFonts w:ascii="仿宋_GB2312" w:hAnsi="Times New Roman" w:eastAsia="仿宋_GB2312" w:cstheme="minorBidi"/>
                <w:bCs/>
                <w:color w:val="000000" w:themeColor="text1"/>
                <w:sz w:val="28"/>
                <w:szCs w:val="28"/>
                <w14:textFill>
                  <w14:solidFill>
                    <w14:schemeClr w14:val="tx1"/>
                  </w14:solidFill>
                </w14:textFill>
              </w:rPr>
            </w:pPr>
            <w:r>
              <w:rPr>
                <w:rFonts w:hint="eastAsia" w:ascii="仿宋_GB2312" w:hAnsi="Times New Roman" w:eastAsia="仿宋_GB2312" w:cstheme="minorBidi"/>
                <w:bCs/>
                <w:color w:val="000000" w:themeColor="text1"/>
                <w:sz w:val="28"/>
                <w:szCs w:val="28"/>
                <w14:textFill>
                  <w14:solidFill>
                    <w14:schemeClr w14:val="tx1"/>
                  </w14:solidFill>
                </w14:textFill>
              </w:rPr>
              <w:t>55640元</w:t>
            </w:r>
          </w:p>
        </w:tc>
        <w:tc>
          <w:tcPr>
            <w:tcW w:w="2410" w:type="dxa"/>
          </w:tcPr>
          <w:p>
            <w:pPr>
              <w:spacing w:line="400" w:lineRule="atLeast"/>
              <w:ind w:firstLine="560" w:firstLineChars="200"/>
              <w:rPr>
                <w:rFonts w:ascii="仿宋_GB2312" w:hAnsi="Times New Roman" w:eastAsia="仿宋_GB2312" w:cstheme="minorBidi"/>
                <w:bCs/>
                <w:color w:val="000000" w:themeColor="text1"/>
                <w:sz w:val="28"/>
                <w:szCs w:val="28"/>
                <w14:textFill>
                  <w14:solidFill>
                    <w14:schemeClr w14:val="tx1"/>
                  </w14:solidFill>
                </w14:textFill>
              </w:rPr>
            </w:pPr>
            <w:r>
              <w:rPr>
                <w:rFonts w:hint="eastAsia" w:ascii="仿宋_GB2312" w:hAnsi="Times New Roman" w:eastAsia="仿宋_GB2312" w:cstheme="minorBidi"/>
                <w:bCs/>
                <w:color w:val="000000" w:themeColor="text1"/>
                <w:sz w:val="28"/>
                <w:szCs w:val="28"/>
                <w14:textFill>
                  <w14:solidFill>
                    <w14:schemeClr w14:val="tx1"/>
                  </w14:solidFill>
                </w14:textFill>
              </w:rPr>
              <w:t>4万元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5200元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6万元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200吨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6000元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7万元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7500元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8.5万元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300吨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9000元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1.5万元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16万元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400吨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2.6万元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25万元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600吨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4.2万元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32万元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650吨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4.6万元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33.5万元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履带吊</w:t>
            </w:r>
          </w:p>
        </w:tc>
        <w:tc>
          <w:tcPr>
            <w:tcW w:w="1701" w:type="dxa"/>
          </w:tcPr>
          <w:p>
            <w:pPr>
              <w:spacing w:line="400" w:lineRule="atLeast"/>
              <w:jc w:val="center"/>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750吨</w:t>
            </w:r>
          </w:p>
        </w:tc>
        <w:tc>
          <w:tcPr>
            <w:tcW w:w="1984"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5.5万元</w:t>
            </w:r>
          </w:p>
        </w:tc>
        <w:tc>
          <w:tcPr>
            <w:tcW w:w="2410" w:type="dxa"/>
          </w:tcPr>
          <w:p>
            <w:pPr>
              <w:spacing w:line="400" w:lineRule="atLeast"/>
              <w:ind w:firstLine="560" w:firstLineChars="200"/>
              <w:rPr>
                <w:rFonts w:ascii="仿宋_GB2312" w:hAnsi="Times New Roman" w:eastAsia="仿宋_GB2312" w:cstheme="minorBidi"/>
                <w:bCs/>
                <w:sz w:val="28"/>
                <w:szCs w:val="28"/>
              </w:rPr>
            </w:pPr>
            <w:r>
              <w:rPr>
                <w:rFonts w:hint="eastAsia" w:ascii="仿宋_GB2312" w:hAnsi="Times New Roman" w:eastAsia="仿宋_GB2312" w:cstheme="minorBidi"/>
                <w:bCs/>
                <w:sz w:val="28"/>
                <w:szCs w:val="28"/>
              </w:rPr>
              <w:t>36万元</w:t>
            </w:r>
          </w:p>
        </w:tc>
      </w:tr>
    </w:tbl>
    <w:p>
      <w:pPr>
        <w:spacing w:line="540" w:lineRule="exact"/>
        <w:ind w:firstLine="640" w:firstLineChars="200"/>
        <w:rPr>
          <w:rFonts w:ascii="仿宋_GB2312" w:hAnsi="Times New Roman" w:eastAsia="仿宋_GB2312"/>
          <w:spacing w:val="2"/>
          <w:sz w:val="32"/>
          <w:szCs w:val="32"/>
        </w:rPr>
      </w:pPr>
      <w:r>
        <w:rPr>
          <w:rFonts w:hint="eastAsia" w:ascii="仿宋_GB2312" w:hAnsi="Times New Roman" w:eastAsia="仿宋_GB2312"/>
          <w:bCs/>
          <w:sz w:val="32"/>
          <w:szCs w:val="32"/>
        </w:rPr>
        <w:t>（4）土建工程采用挖机的，一个工程只计取一次挖机进出场费，厂内转场不计取进出场费；由于甲方工程管理要求增加进出场次数的，可按签证结算。1</w:t>
      </w:r>
      <w:r>
        <w:rPr>
          <w:rFonts w:hint="eastAsia" w:ascii="仿宋_GB2312" w:hAnsi="Times New Roman" w:eastAsia="仿宋_GB2312"/>
          <w:spacing w:val="2"/>
          <w:sz w:val="32"/>
          <w:szCs w:val="32"/>
        </w:rPr>
        <w:t xml:space="preserve"> m</w:t>
      </w:r>
      <w:r>
        <w:rPr>
          <w:rFonts w:hint="eastAsia" w:ascii="仿宋_GB2312" w:hAnsi="Times New Roman" w:eastAsia="仿宋_GB2312"/>
          <w:spacing w:val="2"/>
          <w:sz w:val="32"/>
          <w:szCs w:val="32"/>
          <w:vertAlign w:val="superscript"/>
        </w:rPr>
        <w:t>3</w:t>
      </w:r>
      <w:r>
        <w:rPr>
          <w:rFonts w:hint="eastAsia" w:ascii="仿宋_GB2312" w:hAnsi="Times New Roman" w:eastAsia="仿宋_GB2312"/>
          <w:spacing w:val="2"/>
          <w:sz w:val="32"/>
          <w:szCs w:val="32"/>
        </w:rPr>
        <w:t>挖机的进出场费为4000元/台次，台班费为1300元/台班税前计取。</w:t>
      </w:r>
    </w:p>
    <w:p>
      <w:pPr>
        <w:spacing w:line="540" w:lineRule="exact"/>
        <w:ind w:firstLine="630"/>
        <w:rPr>
          <w:rFonts w:ascii="仿宋_GB2312" w:hAnsi="Times New Roman" w:eastAsia="仿宋_GB2312"/>
          <w:color w:val="FF0000"/>
          <w:spacing w:val="2"/>
          <w:sz w:val="32"/>
          <w:szCs w:val="32"/>
        </w:rPr>
      </w:pPr>
      <w:r>
        <w:rPr>
          <w:rFonts w:hint="eastAsia" w:ascii="仿宋_GB2312" w:hAnsi="Times New Roman" w:eastAsia="仿宋_GB2312"/>
          <w:bCs/>
          <w:sz w:val="32"/>
          <w:szCs w:val="32"/>
        </w:rPr>
        <w:t>（5）</w:t>
      </w:r>
      <w:r>
        <w:rPr>
          <w:rFonts w:hint="eastAsia" w:ascii="仿宋_GB2312" w:hAnsi="Times New Roman" w:eastAsia="仿宋_GB2312"/>
          <w:bCs/>
          <w:sz w:val="32"/>
          <w:szCs w:val="32"/>
          <w:highlight w:val="none"/>
        </w:rPr>
        <w:t>优先使用装置运保合同中包含的举高车，运保的举高车无法满足现场需求时，可按实结算。</w:t>
      </w:r>
      <w:r>
        <w:rPr>
          <w:rFonts w:hint="eastAsia" w:ascii="仿宋_GB2312" w:hAnsi="Times New Roman" w:eastAsia="仿宋_GB2312"/>
          <w:bCs/>
          <w:sz w:val="32"/>
          <w:szCs w:val="32"/>
        </w:rPr>
        <w:t>22米直臂高空作业车1890元/台班税前计价，32米直臂高空作业车2240元/台班， 58米高空作业车1.</w:t>
      </w:r>
      <w:r>
        <w:rPr>
          <w:rFonts w:ascii="仿宋_GB2312" w:hAnsi="Times New Roman" w:eastAsia="仿宋_GB2312"/>
          <w:bCs/>
          <w:sz w:val="32"/>
          <w:szCs w:val="32"/>
        </w:rPr>
        <w:t>3</w:t>
      </w:r>
      <w:r>
        <w:rPr>
          <w:rFonts w:hint="eastAsia" w:ascii="仿宋_GB2312" w:hAnsi="Times New Roman" w:eastAsia="仿宋_GB2312"/>
          <w:bCs/>
          <w:sz w:val="32"/>
          <w:szCs w:val="32"/>
        </w:rPr>
        <w:t>万元/台班，68米高空作业车3</w:t>
      </w:r>
      <w:r>
        <w:rPr>
          <w:rFonts w:ascii="仿宋_GB2312" w:hAnsi="Times New Roman" w:eastAsia="仿宋_GB2312"/>
          <w:bCs/>
          <w:sz w:val="32"/>
          <w:szCs w:val="32"/>
        </w:rPr>
        <w:t>.</w:t>
      </w:r>
      <w:r>
        <w:rPr>
          <w:rFonts w:hint="eastAsia" w:ascii="仿宋_GB2312" w:hAnsi="Times New Roman" w:eastAsia="仿宋_GB2312"/>
          <w:bCs/>
          <w:sz w:val="32"/>
          <w:szCs w:val="32"/>
        </w:rPr>
        <w:t>4万元/台班，不再计取进出场费。</w:t>
      </w:r>
    </w:p>
    <w:p>
      <w:pPr>
        <w:spacing w:line="540" w:lineRule="exact"/>
        <w:ind w:firstLine="654" w:firstLineChars="202"/>
        <w:rPr>
          <w:rFonts w:ascii="仿宋_GB2312" w:hAnsi="Times New Roman" w:eastAsia="仿宋_GB2312"/>
          <w:spacing w:val="2"/>
          <w:sz w:val="32"/>
          <w:szCs w:val="32"/>
        </w:rPr>
      </w:pPr>
      <w:r>
        <w:rPr>
          <w:rFonts w:hint="eastAsia" w:ascii="仿宋_GB2312" w:hAnsi="Times New Roman" w:eastAsia="仿宋_GB2312"/>
          <w:spacing w:val="2"/>
          <w:sz w:val="32"/>
          <w:szCs w:val="32"/>
        </w:rPr>
        <w:t>五、现场安全防护措施</w:t>
      </w:r>
    </w:p>
    <w:p>
      <w:pPr>
        <w:spacing w:line="540" w:lineRule="exact"/>
        <w:ind w:firstLine="648"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1.现场围挡费用，罐外临时防火隔离用油布等现场安全防护措施费用定额已包含，不再另行计价。隔离围挡增加费(封彩钢板加钢支撑)搭设按17元/m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 xml:space="preserve"> (包工包料)税前计取。租赁期为一个月，每超过一个月增计10%，不足15天不计算增加。</w:t>
      </w:r>
    </w:p>
    <w:p>
      <w:pPr>
        <w:spacing w:line="540" w:lineRule="exact"/>
        <w:ind w:firstLine="648"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2.因甲方需求搭设的施工棚、材料棚，按水平投影面积35元/ 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，自行车棚25元/m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税前计价，棚周边彩钢瓦维护按税前价6元/ 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 xml:space="preserve"> 另行计价。作业人员集成式休息板房按双方协商价税前计价。</w:t>
      </w:r>
    </w:p>
    <w:p>
      <w:pPr>
        <w:spacing w:line="540" w:lineRule="exact"/>
        <w:ind w:firstLine="654" w:firstLineChars="202"/>
        <w:rPr>
          <w:rFonts w:ascii="仿宋_GB2312" w:hAnsi="Times New Roman" w:eastAsia="仿宋_GB2312"/>
          <w:spacing w:val="2"/>
          <w:sz w:val="32"/>
          <w:szCs w:val="32"/>
        </w:rPr>
      </w:pPr>
      <w:r>
        <w:rPr>
          <w:rFonts w:hint="eastAsia" w:ascii="仿宋_GB2312" w:hAnsi="Times New Roman" w:eastAsia="仿宋_GB2312"/>
          <w:spacing w:val="2"/>
          <w:sz w:val="32"/>
          <w:szCs w:val="32"/>
        </w:rPr>
        <w:t>六、 其他按单价计取的事项</w:t>
      </w:r>
    </w:p>
    <w:p>
      <w:pPr>
        <w:spacing w:line="540" w:lineRule="exact"/>
        <w:ind w:firstLine="654" w:firstLineChars="202"/>
        <w:rPr>
          <w:rFonts w:ascii="仿宋_GB2312" w:hAnsi="Times New Roman" w:eastAsia="仿宋_GB2312"/>
          <w:spacing w:val="2"/>
          <w:sz w:val="32"/>
          <w:szCs w:val="28"/>
        </w:rPr>
      </w:pPr>
      <w:r>
        <w:rPr>
          <w:rFonts w:hint="eastAsia" w:ascii="仿宋_GB2312" w:hAnsi="Times New Roman" w:eastAsia="仿宋_GB2312"/>
          <w:spacing w:val="2"/>
          <w:sz w:val="32"/>
          <w:szCs w:val="32"/>
        </w:rPr>
        <w:t>1.射线探伤</w:t>
      </w:r>
      <w:r>
        <w:rPr>
          <w:rFonts w:hint="eastAsia" w:ascii="仿宋_GB2312" w:hAnsi="Times New Roman" w:eastAsia="仿宋_GB2312"/>
          <w:spacing w:val="2"/>
          <w:sz w:val="32"/>
          <w:szCs w:val="28"/>
        </w:rPr>
        <w:t>装置停工检修（消缺）</w:t>
      </w:r>
      <w:r>
        <w:rPr>
          <w:rFonts w:hint="eastAsia" w:ascii="仿宋_GB2312" w:hAnsi="Times New Roman" w:eastAsia="仿宋_GB2312"/>
          <w:spacing w:val="2"/>
          <w:sz w:val="32"/>
          <w:szCs w:val="32"/>
        </w:rPr>
        <w:t>按50元/张税前计取，日常</w:t>
      </w:r>
      <w:r>
        <w:rPr>
          <w:rFonts w:hint="eastAsia" w:ascii="仿宋_GB2312" w:hAnsi="Times New Roman" w:eastAsia="仿宋_GB2312"/>
          <w:spacing w:val="2"/>
          <w:sz w:val="32"/>
          <w:szCs w:val="28"/>
        </w:rPr>
        <w:t>检维修按《石油化工行业检修工程预算定额》（2021版）定额执行。</w:t>
      </w:r>
    </w:p>
    <w:p>
      <w:pPr>
        <w:spacing w:line="540" w:lineRule="exact"/>
        <w:ind w:firstLine="654" w:firstLineChars="202"/>
        <w:rPr>
          <w:rFonts w:ascii="仿宋_GB2312" w:hAnsi="Times New Roman" w:eastAsia="仿宋_GB2312"/>
          <w:spacing w:val="2"/>
          <w:sz w:val="32"/>
          <w:szCs w:val="32"/>
        </w:rPr>
      </w:pPr>
      <w:r>
        <w:rPr>
          <w:rFonts w:hint="eastAsia" w:ascii="仿宋_GB2312" w:hAnsi="Times New Roman" w:eastAsia="仿宋_GB2312"/>
          <w:spacing w:val="2"/>
          <w:sz w:val="32"/>
          <w:szCs w:val="32"/>
        </w:rPr>
        <w:t>2.金属材料抛丸、喷砂除锈，金属新材料均按28元/m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税前计取，金属旧材料均按35元/m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税前计取。水喷砂按50元/m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税前计取。</w:t>
      </w:r>
    </w:p>
    <w:p>
      <w:pPr>
        <w:spacing w:line="540" w:lineRule="exact"/>
        <w:ind w:firstLine="654" w:firstLineChars="202"/>
        <w:rPr>
          <w:rFonts w:ascii="仿宋_GB2312" w:hAnsi="Times New Roman" w:eastAsia="仿宋_GB2312"/>
          <w:spacing w:val="2"/>
          <w:sz w:val="32"/>
          <w:szCs w:val="32"/>
        </w:rPr>
      </w:pPr>
      <w:r>
        <w:rPr>
          <w:rFonts w:hint="eastAsia" w:ascii="仿宋_GB2312" w:hAnsi="Times New Roman" w:eastAsia="仿宋_GB2312"/>
          <w:spacing w:val="2"/>
          <w:sz w:val="32"/>
          <w:szCs w:val="32"/>
        </w:rPr>
        <w:t>3.揭盖地沟等钢砼盖板（电缆沟盖板除外）厚度10cm统一按税前价15元/m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计取，每增减1cm按1.5元/m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调整。铁盖板揭盖按税前8元/m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计取，玻璃钢盖板揭盖按税前 6元/m</w:t>
      </w:r>
      <w:r>
        <w:rPr>
          <w:rFonts w:hint="eastAsia" w:ascii="仿宋_GB2312" w:hAnsi="Times New Roman" w:eastAsia="仿宋_GB2312"/>
          <w:spacing w:val="2"/>
          <w:sz w:val="32"/>
          <w:szCs w:val="32"/>
          <w:vertAlign w:val="superscript"/>
        </w:rPr>
        <w:t>2</w:t>
      </w:r>
      <w:r>
        <w:rPr>
          <w:rFonts w:hint="eastAsia" w:ascii="仿宋_GB2312" w:hAnsi="Times New Roman" w:eastAsia="仿宋_GB2312"/>
          <w:spacing w:val="2"/>
          <w:sz w:val="32"/>
          <w:szCs w:val="32"/>
        </w:rPr>
        <w:t>计取。</w:t>
      </w:r>
    </w:p>
    <w:p>
      <w:pPr>
        <w:spacing w:line="540" w:lineRule="exact"/>
        <w:ind w:firstLine="648" w:firstLineChars="200"/>
        <w:rPr>
          <w:rFonts w:ascii="仿宋_GB2312" w:hAnsi="Times New Roman" w:eastAsia="仿宋_GB2312"/>
          <w:bCs/>
          <w:color w:val="FF0000"/>
          <w:sz w:val="32"/>
          <w:szCs w:val="32"/>
        </w:rPr>
      </w:pPr>
      <w:r>
        <w:rPr>
          <w:rFonts w:hint="eastAsia" w:ascii="仿宋_GB2312" w:hAnsi="Times New Roman" w:eastAsia="仿宋_GB2312"/>
          <w:spacing w:val="2"/>
          <w:sz w:val="32"/>
          <w:szCs w:val="32"/>
        </w:rPr>
        <w:t>4.</w:t>
      </w:r>
      <w:r>
        <w:rPr>
          <w:rFonts w:hint="eastAsia" w:ascii="仿宋_GB2312" w:hAnsi="Times New Roman" w:eastAsia="仿宋_GB2312"/>
          <w:bCs/>
          <w:sz w:val="32"/>
          <w:szCs w:val="32"/>
        </w:rPr>
        <w:t>零星用工单价为250元/工日，开工保运单价为300元/工日，上述价格税前计价；法定节日上述价格增加100元/工日。</w:t>
      </w:r>
      <w:r>
        <w:rPr>
          <w:rFonts w:hint="eastAsia" w:ascii="仿宋_GB2312" w:hAnsi="Times New Roman" w:eastAsia="仿宋_GB2312"/>
          <w:spacing w:val="2"/>
          <w:sz w:val="32"/>
          <w:szCs w:val="32"/>
        </w:rPr>
        <w:t>专职监护用工单价为160元/工日。</w:t>
      </w:r>
    </w:p>
    <w:p>
      <w:pPr>
        <w:spacing w:line="540" w:lineRule="exact"/>
        <w:ind w:firstLine="648"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5.压力表校验按单价44.25元/台税前计价。</w:t>
      </w:r>
    </w:p>
    <w:p>
      <w:pPr>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6.高压水射流清洗按附件一税前计价</w:t>
      </w:r>
    </w:p>
    <w:p>
      <w:pPr>
        <w:spacing w:line="540" w:lineRule="exact"/>
        <w:ind w:firstLine="648"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7.输液橡胶软管和金属波纹管校验按附件二税前计价；</w:t>
      </w:r>
    </w:p>
    <w:p>
      <w:pPr>
        <w:spacing w:line="540" w:lineRule="exact"/>
        <w:ind w:firstLine="648"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8.转子动平衡按附件三税前计价；</w:t>
      </w:r>
    </w:p>
    <w:p>
      <w:pPr>
        <w:spacing w:line="540" w:lineRule="exact"/>
        <w:ind w:firstLine="648" w:firstLineChars="200"/>
        <w:rPr>
          <w:rFonts w:ascii="仿宋_GB2312" w:hAnsi="Times New Roman" w:eastAsia="仿宋_GB2312"/>
          <w:bCs/>
          <w:color w:val="FF0000"/>
          <w:sz w:val="32"/>
          <w:szCs w:val="32"/>
        </w:rPr>
      </w:pPr>
      <w:r>
        <w:rPr>
          <w:rFonts w:hint="eastAsia" w:ascii="仿宋_GB2312" w:hAnsi="Times New Roman" w:eastAsia="仿宋_GB2312"/>
          <w:spacing w:val="2"/>
          <w:sz w:val="32"/>
          <w:szCs w:val="32"/>
        </w:rPr>
        <w:t>9.安全阀校验价格按附件四、附件五税前计价</w:t>
      </w:r>
    </w:p>
    <w:p>
      <w:pPr>
        <w:spacing w:line="540" w:lineRule="exact"/>
        <w:ind w:firstLine="646" w:firstLineChars="202"/>
        <w:rPr>
          <w:rFonts w:ascii="仿宋_GB2312" w:hAnsi="Times New Roman" w:eastAsia="仿宋_GB2312"/>
          <w:bCs/>
          <w:sz w:val="32"/>
          <w:szCs w:val="32"/>
        </w:rPr>
      </w:pPr>
      <w:r>
        <w:rPr>
          <w:rFonts w:hint="eastAsia" w:ascii="仿宋_GB2312" w:hAnsi="Times New Roman" w:eastAsia="仿宋_GB2312"/>
          <w:bCs/>
          <w:sz w:val="32"/>
          <w:szCs w:val="32"/>
        </w:rPr>
        <w:t>七、 材料及批价</w:t>
      </w:r>
    </w:p>
    <w:p>
      <w:pPr>
        <w:spacing w:line="540" w:lineRule="exact"/>
        <w:ind w:firstLine="646" w:firstLineChars="202"/>
        <w:rPr>
          <w:rFonts w:ascii="仿宋_GB2312" w:hAnsi="Times New Roman" w:eastAsia="仿宋_GB2312"/>
          <w:strike/>
          <w:spacing w:val="2"/>
          <w:sz w:val="32"/>
          <w:szCs w:val="32"/>
        </w:rPr>
      </w:pPr>
      <w:r>
        <w:rPr>
          <w:rFonts w:hint="eastAsia" w:ascii="仿宋_GB2312" w:hAnsi="Times New Roman" w:eastAsia="仿宋_GB2312"/>
          <w:bCs/>
          <w:sz w:val="32"/>
          <w:szCs w:val="32"/>
        </w:rPr>
        <w:t>1.主材单价按不高于合同约定工程开始日期或施工验收单开始日当季的乙供材料指导价计取，乙供材料指导价未涉及的单价大于300元或单个材料总价大于1万元的材料需在施工前与甲方协商价格，并办理《甲控乙供料批价单》；《甲控乙供料批价单》未注明含税情况时，按含增值税处理。</w:t>
      </w:r>
    </w:p>
    <w:p>
      <w:pPr>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2.甲控乙办材料的管理费用，依据设备动力部门的签证按税前价计取。单台（件）设备委外修理按设备专业批价为准。</w:t>
      </w:r>
    </w:p>
    <w:p>
      <w:pPr>
        <w:spacing w:line="540" w:lineRule="exact"/>
        <w:ind w:firstLine="646" w:firstLineChars="202"/>
        <w:rPr>
          <w:rFonts w:ascii="仿宋_GB2312" w:hAnsi="Times New Roman" w:eastAsia="仿宋_GB2312"/>
          <w:sz w:val="32"/>
          <w:szCs w:val="32"/>
        </w:rPr>
      </w:pPr>
      <w:r>
        <w:rPr>
          <w:rFonts w:hint="eastAsia" w:ascii="仿宋_GB2312" w:hAnsi="Times New Roman" w:eastAsia="仿宋_GB2312"/>
          <w:sz w:val="32"/>
          <w:szCs w:val="32"/>
        </w:rPr>
        <w:t>八、 防腐工程</w:t>
      </w:r>
    </w:p>
    <w:p>
      <w:pPr>
        <w:spacing w:line="540" w:lineRule="exact"/>
        <w:ind w:firstLine="646" w:firstLineChars="202"/>
        <w:rPr>
          <w:rFonts w:ascii="仿宋_GB2312" w:hAnsi="Times New Roman" w:eastAsia="仿宋_GB2312"/>
          <w:bCs/>
          <w:sz w:val="32"/>
          <w:szCs w:val="32"/>
        </w:rPr>
      </w:pPr>
      <w:r>
        <w:rPr>
          <w:rFonts w:hint="eastAsia" w:ascii="仿宋_GB2312" w:hAnsi="Times New Roman" w:eastAsia="仿宋_GB2312"/>
          <w:bCs/>
          <w:sz w:val="32"/>
          <w:szCs w:val="32"/>
        </w:rPr>
        <w:t>1.工单和签证对锈蚀情况没有具体描述时，金属新材料除锈按除轻锈计价；金属旧材料除锈按除中锈计价。</w:t>
      </w:r>
    </w:p>
    <w:p>
      <w:pPr>
        <w:widowControl/>
        <w:spacing w:line="54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2.定额子目缺项时，防腐蚀涂料耗量按下表计取：</w:t>
      </w:r>
    </w:p>
    <w:tbl>
      <w:tblPr>
        <w:tblStyle w:val="14"/>
        <w:tblW w:w="7969" w:type="dxa"/>
        <w:jc w:val="center"/>
        <w:tblLayout w:type="autofit"/>
        <w:tblCellMar>
          <w:top w:w="0" w:type="dxa"/>
          <w:left w:w="108" w:type="dxa"/>
          <w:bottom w:w="0" w:type="dxa"/>
          <w:right w:w="108" w:type="dxa"/>
        </w:tblCellMar>
      </w:tblPr>
      <w:tblGrid>
        <w:gridCol w:w="1696"/>
        <w:gridCol w:w="2279"/>
        <w:gridCol w:w="1774"/>
        <w:gridCol w:w="1110"/>
        <w:gridCol w:w="1110"/>
      </w:tblGrid>
      <w:tr>
        <w:tblPrEx>
          <w:tblCellMar>
            <w:top w:w="0" w:type="dxa"/>
            <w:left w:w="108" w:type="dxa"/>
            <w:bottom w:w="0" w:type="dxa"/>
            <w:right w:w="108" w:type="dxa"/>
          </w:tblCellMar>
        </w:tblPrEx>
        <w:trPr>
          <w:trHeight w:val="340" w:hRule="atLeast"/>
          <w:jc w:val="center"/>
        </w:trPr>
        <w:tc>
          <w:tcPr>
            <w:tcW w:w="1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项目</w:t>
            </w:r>
          </w:p>
        </w:tc>
        <w:tc>
          <w:tcPr>
            <w:tcW w:w="22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干膜厚度</w:t>
            </w:r>
          </w:p>
        </w:tc>
        <w:tc>
          <w:tcPr>
            <w:tcW w:w="17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理论用量</w:t>
            </w:r>
          </w:p>
        </w:tc>
        <w:tc>
          <w:tcPr>
            <w:tcW w:w="22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施工损耗率</w:t>
            </w:r>
          </w:p>
        </w:tc>
      </w:tr>
      <w:tr>
        <w:tblPrEx>
          <w:tblCellMar>
            <w:top w:w="0" w:type="dxa"/>
            <w:left w:w="108" w:type="dxa"/>
            <w:bottom w:w="0" w:type="dxa"/>
            <w:right w:w="108" w:type="dxa"/>
          </w:tblCellMar>
        </w:tblPrEx>
        <w:trPr>
          <w:trHeight w:val="408"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22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喷涂</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手刷</w:t>
            </w:r>
          </w:p>
        </w:tc>
      </w:tr>
      <w:tr>
        <w:tblPrEx>
          <w:tblCellMar>
            <w:top w:w="0" w:type="dxa"/>
            <w:left w:w="108" w:type="dxa"/>
            <w:bottom w:w="0" w:type="dxa"/>
            <w:right w:w="108" w:type="dxa"/>
          </w:tblCellMar>
        </w:tblPrEx>
        <w:trPr>
          <w:trHeight w:val="3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底涂</w:t>
            </w:r>
          </w:p>
        </w:tc>
        <w:tc>
          <w:tcPr>
            <w:tcW w:w="22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按公司技术要求</w:t>
            </w:r>
          </w:p>
        </w:tc>
        <w:tc>
          <w:tcPr>
            <w:tcW w:w="17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ascii="仿宋_GB2312"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-2151380</wp:posOffset>
                      </wp:positionH>
                      <wp:positionV relativeFrom="paragraph">
                        <wp:posOffset>1534795</wp:posOffset>
                      </wp:positionV>
                      <wp:extent cx="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9.4pt;margin-top:120.85pt;height:0pt;width:0pt;z-index:251659264;mso-width-relative:page;mso-height-relative:page;" filled="f" stroked="t" coordsize="21600,21600" o:gfxdata="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PYI11gAAAA0BAAAP&#10;AAAAAAAAAAEAIAAAACIAAABkcnMvZG93bnJldi54bWxQSwECFAAUAAAACACHTuJA/m08huEBAACy&#10;AwAADgAAAAAAAAABACAAAAAlAQAAZHJzL2Uyb0RvYy54bWxQSwUGAAAAAAYABgBZAQAAeAUAAAAA&#10;">
                      <v:fill on="f" focussize="0,0"/>
                      <v:stroke color="#000000" joinstyle="round"/>
                      <v:imagedata o:title=""/>
                      <o:lock v:ext="edit" aspectratio="f"/>
                    </v:line>
                  </w:pict>
                </mc:Fallback>
              </mc:AlternateContent>
            </w:r>
            <w:r>
              <w:rPr>
                <w:rFonts w:hint="eastAsia" w:ascii="仿宋_GB2312" w:hAnsi="Times New Roman" w:eastAsia="仿宋_GB2312"/>
                <w:sz w:val="28"/>
                <w:szCs w:val="28"/>
              </w:rPr>
              <w:t>按产品说明</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60%</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30%</w:t>
            </w:r>
          </w:p>
        </w:tc>
      </w:tr>
      <w:tr>
        <w:tblPrEx>
          <w:tblCellMar>
            <w:top w:w="0" w:type="dxa"/>
            <w:left w:w="108" w:type="dxa"/>
            <w:bottom w:w="0" w:type="dxa"/>
            <w:right w:w="108" w:type="dxa"/>
          </w:tblCellMar>
        </w:tblPrEx>
        <w:trPr>
          <w:trHeight w:val="3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中间漆</w:t>
            </w:r>
          </w:p>
        </w:tc>
        <w:tc>
          <w:tcPr>
            <w:tcW w:w="22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40%</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30%</w:t>
            </w:r>
          </w:p>
        </w:tc>
      </w:tr>
      <w:tr>
        <w:tblPrEx>
          <w:tblCellMar>
            <w:top w:w="0" w:type="dxa"/>
            <w:left w:w="108" w:type="dxa"/>
            <w:bottom w:w="0" w:type="dxa"/>
            <w:right w:w="108" w:type="dxa"/>
          </w:tblCellMar>
        </w:tblPrEx>
        <w:trPr>
          <w:trHeight w:val="3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面漆</w:t>
            </w:r>
          </w:p>
        </w:tc>
        <w:tc>
          <w:tcPr>
            <w:tcW w:w="22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40%</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30%</w:t>
            </w:r>
          </w:p>
        </w:tc>
      </w:tr>
    </w:tbl>
    <w:p>
      <w:pPr>
        <w:spacing w:line="540" w:lineRule="exact"/>
        <w:ind w:firstLine="640" w:firstLineChars="200"/>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sz w:val="32"/>
          <w:szCs w:val="32"/>
        </w:rPr>
        <w:t>九、更新项目参照此规定。</w:t>
      </w:r>
      <w:r>
        <w:rPr>
          <w:rFonts w:hint="eastAsia" w:ascii="仿宋_GB2312" w:hAnsi="Times New Roman" w:eastAsia="仿宋_GB2312"/>
          <w:bCs/>
          <w:color w:val="000000" w:themeColor="text1"/>
          <w:sz w:val="32"/>
          <w:szCs w:val="32"/>
          <w14:textFill>
            <w14:solidFill>
              <w14:schemeClr w14:val="tx1"/>
            </w14:solidFill>
          </w14:textFill>
        </w:rPr>
        <w:t>油罐整体更新项目、采暖等工程执行《石油化工安装工程定额》（2019版）。</w:t>
      </w:r>
    </w:p>
    <w:p>
      <w:pPr>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十、附件（最高限价表）</w:t>
      </w:r>
    </w:p>
    <w:p>
      <w:pPr>
        <w:spacing w:line="540" w:lineRule="exact"/>
        <w:ind w:firstLine="640" w:firstLineChars="200"/>
        <w:rPr>
          <w:rFonts w:ascii="仿宋_GB2312" w:hAnsi="Times New Roman" w:eastAsia="仿宋_GB2312"/>
          <w:bCs/>
          <w:sz w:val="32"/>
          <w:szCs w:val="32"/>
        </w:rPr>
      </w:pPr>
    </w:p>
    <w:p>
      <w:pPr>
        <w:widowControl/>
        <w:jc w:val="left"/>
        <w:rPr>
          <w:rFonts w:ascii="仿宋_GB2312" w:hAnsi="Times New Roman" w:eastAsia="仿宋_GB2312"/>
          <w:bCs/>
          <w:sz w:val="32"/>
          <w:szCs w:val="32"/>
        </w:rPr>
      </w:pPr>
      <w:r>
        <w:rPr>
          <w:rFonts w:ascii="仿宋_GB2312" w:hAnsi="Times New Roman" w:eastAsia="仿宋_GB2312"/>
          <w:bCs/>
          <w:sz w:val="32"/>
          <w:szCs w:val="32"/>
        </w:rPr>
        <w:br w:type="page"/>
      </w:r>
    </w:p>
    <w:p>
      <w:pPr>
        <w:pStyle w:val="12"/>
      </w:pPr>
      <w:r>
        <w:rPr>
          <w:rFonts w:hint="eastAsia" w:ascii="仿宋_GB2312" w:hAnsi="Times New Roman" w:eastAsia="仿宋_GB2312"/>
          <w:bCs/>
          <w:sz w:val="32"/>
          <w:szCs w:val="32"/>
        </w:rPr>
        <w:t>附件一：</w:t>
      </w:r>
      <w:r>
        <w:t xml:space="preserve"> </w:t>
      </w:r>
    </w:p>
    <w:p>
      <w:pPr>
        <w:jc w:val="center"/>
        <w:rPr>
          <w:b/>
          <w:sz w:val="30"/>
          <w:szCs w:val="30"/>
        </w:rPr>
      </w:pPr>
      <w:r>
        <w:rPr>
          <w:rFonts w:hint="eastAsia"/>
          <w:b/>
          <w:sz w:val="30"/>
          <w:szCs w:val="30"/>
        </w:rPr>
        <w:t>高压水射流清洗价目表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402"/>
        <w:gridCol w:w="1134"/>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序号</w:t>
            </w:r>
          </w:p>
        </w:tc>
        <w:tc>
          <w:tcPr>
            <w:tcW w:w="3402"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w w:val="104"/>
                <w:szCs w:val="21"/>
              </w:rPr>
              <w:t>介质种类</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单位</w:t>
            </w:r>
          </w:p>
        </w:tc>
        <w:tc>
          <w:tcPr>
            <w:tcW w:w="198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w w:val="108"/>
                <w:szCs w:val="21"/>
              </w:rPr>
              <w:t>停工</w:t>
            </w:r>
            <w:r>
              <w:rPr>
                <w:rFonts w:asciiTheme="minorHAnsi" w:hAnsiTheme="minorHAnsi" w:eastAsiaTheme="minorEastAsia" w:cstheme="minorBidi"/>
                <w:spacing w:val="-15"/>
                <w:w w:val="108"/>
                <w:szCs w:val="21"/>
              </w:rPr>
              <w:t>检</w:t>
            </w:r>
            <w:r>
              <w:rPr>
                <w:rFonts w:asciiTheme="minorHAnsi" w:hAnsiTheme="minorHAnsi" w:eastAsiaTheme="minorEastAsia" w:cstheme="minorBidi"/>
                <w:w w:val="105"/>
                <w:szCs w:val="21"/>
              </w:rPr>
              <w:t>修综合单价（</w:t>
            </w:r>
            <w:r>
              <w:rPr>
                <w:rFonts w:hint="eastAsia" w:asciiTheme="minorHAnsi" w:hAnsiTheme="minorHAnsi" w:eastAsiaTheme="minorEastAsia" w:cstheme="minorBidi"/>
                <w:w w:val="105"/>
                <w:szCs w:val="21"/>
              </w:rPr>
              <w:t>不含税</w:t>
            </w:r>
            <w:r>
              <w:rPr>
                <w:rFonts w:asciiTheme="minorHAnsi" w:hAnsiTheme="minorHAnsi" w:eastAsiaTheme="minorEastAsia" w:cstheme="minorBidi"/>
                <w:w w:val="105"/>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1</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柴油、汽油等轻质油流程侧及松散粉尘、颗粒物清洗</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16</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2</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重质原料油、油浆流程侧清洗</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22</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3</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水、液化气、蒸汽流程侧及沉积物、泥沙淤积物清洗</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16</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4</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中等硬度水垢（循环水走管程，使用时间大于 2 年小于 4 年）</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21</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5</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坚硬水垢、结焦、粘稠聚合物清洗</w:t>
            </w:r>
          </w:p>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（坚硬水垢指循环水走管程，使用时间不少于 4 年）</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24</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6</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空冷管束翅片清洗</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8</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7</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水冷器预膜</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平方米</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8</w:t>
            </w:r>
            <w:r>
              <w:rPr>
                <w:rFonts w:asciiTheme="minorHAnsi" w:hAnsiTheme="minorHAnsi" w:eastAsiaTheme="minorEastAsia" w:cstheme="minorBidi"/>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8</w:t>
            </w:r>
          </w:p>
        </w:tc>
        <w:tc>
          <w:tcPr>
            <w:tcW w:w="3402" w:type="dxa"/>
            <w:vAlign w:val="center"/>
          </w:tcPr>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非冷换设备清洗机械台班</w:t>
            </w:r>
          </w:p>
          <w:p>
            <w:pPr>
              <w:spacing w:line="320" w:lineRule="atLeast"/>
              <w:rPr>
                <w:rFonts w:asciiTheme="minorHAnsi" w:hAnsiTheme="minorHAnsi" w:eastAsiaTheme="minorEastAsia" w:cstheme="minorBidi"/>
                <w:szCs w:val="21"/>
              </w:rPr>
            </w:pPr>
            <w:r>
              <w:rPr>
                <w:rFonts w:asciiTheme="minorHAnsi" w:hAnsiTheme="minorHAnsi" w:eastAsiaTheme="minorEastAsia" w:cstheme="minorBidi"/>
                <w:szCs w:val="21"/>
              </w:rPr>
              <w:t>（每8小时为1个台班）</w:t>
            </w:r>
          </w:p>
        </w:tc>
        <w:tc>
          <w:tcPr>
            <w:tcW w:w="1134" w:type="dxa"/>
            <w:vAlign w:val="center"/>
          </w:tcPr>
          <w:p>
            <w:pPr>
              <w:spacing w:line="320" w:lineRule="atLeast"/>
              <w:jc w:val="center"/>
              <w:rPr>
                <w:rFonts w:asciiTheme="minorHAnsi" w:hAnsiTheme="minorHAnsi" w:eastAsiaTheme="minorEastAsia" w:cstheme="minorBidi"/>
                <w:szCs w:val="21"/>
              </w:rPr>
            </w:pPr>
            <w:r>
              <w:rPr>
                <w:rFonts w:asciiTheme="minorHAnsi" w:hAnsiTheme="minorHAnsi" w:eastAsiaTheme="minorEastAsia" w:cstheme="minorBidi"/>
                <w:szCs w:val="21"/>
              </w:rPr>
              <w:t>台班</w:t>
            </w:r>
          </w:p>
        </w:tc>
        <w:tc>
          <w:tcPr>
            <w:tcW w:w="1984" w:type="dxa"/>
            <w:vAlign w:val="center"/>
          </w:tcPr>
          <w:p>
            <w:pPr>
              <w:spacing w:line="320" w:lineRule="atLeas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5087</w:t>
            </w:r>
            <w:r>
              <w:rPr>
                <w:rFonts w:asciiTheme="minorHAnsi" w:hAnsiTheme="minorHAnsi" w:eastAsiaTheme="minorEastAsia" w:cstheme="minorBidi"/>
                <w:szCs w:val="21"/>
              </w:rPr>
              <w:t>元</w:t>
            </w:r>
          </w:p>
        </w:tc>
      </w:tr>
    </w:tbl>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说明：</w:t>
      </w:r>
    </w:p>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a、管壳式换热器管束的清洗根据不同流程侧介质，按照完成清洗的流程侧单价记取，清洗面积按换热器的换热面积计算；对于管壳程均需清洗的则按综合单价高的流程侧单价记取，不重复计算管壳程面积；空冷管束翅片清洗按空冷器管束的名义传热面积（换热管光管外面积，下同）计算；空冷管束管程内侧清洗按介质分别套用1-6项的综合单价，面积按其名义传热面积计算；其他设备清洗按实际发生的台班计算，最小计算台班为 0.5个台班；</w:t>
      </w:r>
    </w:p>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b、轻质油指沸点范围约50～350</w:t>
      </w:r>
      <w:r>
        <w:rPr>
          <w:rFonts w:hint="eastAsia" w:ascii="宋体" w:hAnsi="宋体"/>
          <w:snapToGrid w:val="0"/>
          <w:kern w:val="0"/>
          <w:szCs w:val="21"/>
        </w:rPr>
        <w:t>℃</w:t>
      </w:r>
      <w:r>
        <w:rPr>
          <w:rFonts w:ascii="宋体" w:hAnsi="宋体"/>
          <w:snapToGrid w:val="0"/>
          <w:kern w:val="0"/>
          <w:szCs w:val="21"/>
        </w:rPr>
        <w:t>的烃类混合物，主要包括汽油（或石脑油）、煤油（或喷气燃料）、轻柴油（或常压瓦斯油〉等馏分以及拔头油、抽余油等，它们主要来自原油蒸馏、催化裂化、热裂化、石油焦化、加氢裂化以及催化重整等装置；</w:t>
      </w:r>
    </w:p>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c、重质油指沸点在约350°C以上的馏分油和渣油；</w:t>
      </w:r>
    </w:p>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d、粘稠聚合物包括环氧乙烷/乙二醇装置的MEG 、DEG、TEG，裂解汽油加氢装置的碳九烃类，丁二烯抽提装置的C4热聚物、丁二烯等存在聚合物的介质。丁苯橡胶装置、ABS装置聚合物。</w:t>
      </w:r>
    </w:p>
    <w:p>
      <w:pPr>
        <w:snapToGrid w:val="0"/>
        <w:spacing w:line="320" w:lineRule="exact"/>
        <w:ind w:firstLine="480" w:firstLineChars="200"/>
        <w:rPr>
          <w:rFonts w:ascii="宋体" w:hAnsi="宋体"/>
          <w:snapToGrid w:val="0"/>
          <w:kern w:val="0"/>
          <w:szCs w:val="21"/>
        </w:rPr>
      </w:pPr>
      <w:r>
        <w:rPr>
          <w:rFonts w:ascii="宋体" w:hAnsi="宋体"/>
          <w:snapToGrid w:val="0"/>
          <w:kern w:val="0"/>
          <w:szCs w:val="21"/>
        </w:rPr>
        <w:t>e、对于水垢硬度划分，以循环水换热器距上次清洗时间为依据，即距上次清洗时间小于2年的，划为泥沙淤积物，结算时套用第3项单价，距上次清洗时间大于2年小于4年的，划为中等硬度水垢，结算时套用第4项单价：距上次清洗时间大于4年的，划为坚硬水垢，结算时套用第5项单价。</w:t>
      </w:r>
    </w:p>
    <w:p>
      <w:pPr>
        <w:snapToGrid w:val="0"/>
        <w:spacing w:line="320" w:lineRule="exact"/>
        <w:ind w:firstLine="480" w:firstLineChars="200"/>
        <w:rPr>
          <w:rFonts w:ascii="宋体" w:hAnsi="宋体"/>
          <w:snapToGrid w:val="0"/>
          <w:kern w:val="0"/>
          <w:szCs w:val="21"/>
        </w:rPr>
      </w:pPr>
    </w:p>
    <w:p>
      <w:pPr>
        <w:pStyle w:val="12"/>
        <w:rPr>
          <w:rFonts w:ascii="仿宋_GB2312" w:hAnsi="Times New Roman" w:eastAsia="仿宋_GB2312"/>
          <w:bCs/>
          <w:sz w:val="32"/>
          <w:szCs w:val="32"/>
        </w:rPr>
      </w:pPr>
      <w:r>
        <w:rPr>
          <w:rFonts w:hint="eastAsia" w:ascii="仿宋_GB2312" w:hAnsi="Times New Roman" w:eastAsia="仿宋_GB2312"/>
          <w:bCs/>
          <w:sz w:val="32"/>
          <w:szCs w:val="32"/>
        </w:rPr>
        <w:t>附件二：</w:t>
      </w:r>
    </w:p>
    <w:p>
      <w:pPr>
        <w:spacing w:line="400" w:lineRule="atLeast"/>
        <w:ind w:firstLine="562" w:firstLineChars="200"/>
        <w:jc w:val="center"/>
        <w:rPr>
          <w:rFonts w:ascii="仿宋_GB2312" w:hAnsi="Times New Roman" w:eastAsia="仿宋_GB2312"/>
          <w:b/>
          <w:bCs/>
          <w:sz w:val="28"/>
          <w:szCs w:val="28"/>
        </w:rPr>
      </w:pPr>
      <w:r>
        <w:rPr>
          <w:rFonts w:hint="eastAsia" w:ascii="仿宋_GB2312" w:hAnsi="Times New Roman" w:eastAsia="仿宋_GB2312"/>
          <w:b/>
          <w:bCs/>
          <w:sz w:val="28"/>
          <w:szCs w:val="28"/>
        </w:rPr>
        <w:t>输液橡胶软管和金属波纹软管校验价格表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8"/>
        <w:gridCol w:w="37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规格</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金额(根)/元（不含税）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DN500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DN400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1980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DN300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tcPr>
          <w:p>
            <w:pPr>
              <w:ind w:firstLine="1260" w:firstLineChars="450"/>
              <w:rPr>
                <w:rFonts w:asciiTheme="minorHAnsi" w:hAnsiTheme="minorHAnsi" w:eastAsiaTheme="minorEastAsia" w:cstheme="minorBidi"/>
              </w:rPr>
            </w:pPr>
            <w:r>
              <w:rPr>
                <w:rFonts w:hint="eastAsia" w:ascii="仿宋_GB2312" w:hAnsi="Times New Roman" w:eastAsia="仿宋_GB2312" w:cs="Times New Roman"/>
                <w:bCs/>
                <w:sz w:val="28"/>
                <w:szCs w:val="28"/>
              </w:rPr>
              <w:t>DN250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tcPr>
          <w:p>
            <w:pPr>
              <w:ind w:firstLine="1260" w:firstLineChars="450"/>
              <w:rPr>
                <w:rFonts w:asciiTheme="minorHAnsi" w:hAnsiTheme="minorHAnsi" w:eastAsiaTheme="minorEastAsia" w:cstheme="minorBidi"/>
              </w:rPr>
            </w:pPr>
            <w:r>
              <w:rPr>
                <w:rFonts w:hint="eastAsia" w:ascii="仿宋_GB2312" w:hAnsi="Times New Roman" w:eastAsia="仿宋_GB2312" w:cs="Times New Roman"/>
                <w:bCs/>
                <w:sz w:val="28"/>
                <w:szCs w:val="28"/>
              </w:rPr>
              <w:t>DN200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tcPr>
          <w:p>
            <w:pPr>
              <w:ind w:firstLine="1260" w:firstLineChars="450"/>
              <w:rPr>
                <w:rFonts w:asciiTheme="minorHAnsi" w:hAnsiTheme="minorHAnsi" w:eastAsiaTheme="minorEastAsia" w:cstheme="minorBidi"/>
              </w:rPr>
            </w:pPr>
            <w:r>
              <w:rPr>
                <w:rFonts w:hint="eastAsia" w:ascii="仿宋_GB2312" w:hAnsi="Times New Roman" w:eastAsia="仿宋_GB2312" w:cs="Times New Roman"/>
                <w:bCs/>
                <w:sz w:val="28"/>
                <w:szCs w:val="28"/>
              </w:rPr>
              <w:t>DN150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tcPr>
          <w:p>
            <w:pPr>
              <w:ind w:firstLine="1260" w:firstLineChars="450"/>
              <w:rPr>
                <w:rFonts w:asciiTheme="minorHAnsi" w:hAnsiTheme="minorHAnsi" w:eastAsiaTheme="minorEastAsia" w:cstheme="minorBidi"/>
              </w:rPr>
            </w:pPr>
            <w:r>
              <w:rPr>
                <w:rFonts w:hint="eastAsia" w:ascii="仿宋_GB2312" w:hAnsi="Times New Roman" w:eastAsia="仿宋_GB2312" w:cs="Times New Roman"/>
                <w:bCs/>
                <w:sz w:val="28"/>
                <w:szCs w:val="28"/>
              </w:rPr>
              <w:t>DN100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tcPr>
          <w:p>
            <w:pPr>
              <w:ind w:firstLine="1260" w:firstLineChars="450"/>
              <w:rPr>
                <w:rFonts w:asciiTheme="minorHAnsi" w:hAnsiTheme="minorHAnsi" w:eastAsiaTheme="minorEastAsia" w:cstheme="minorBidi"/>
              </w:rPr>
            </w:pPr>
            <w:r>
              <w:rPr>
                <w:rFonts w:hint="eastAsia" w:ascii="仿宋_GB2312" w:hAnsi="Times New Roman" w:eastAsia="仿宋_GB2312" w:cs="Times New Roman"/>
                <w:bCs/>
                <w:sz w:val="28"/>
                <w:szCs w:val="28"/>
              </w:rPr>
              <w:t>DN80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68" w:type="dxa"/>
            <w:vAlign w:val="center"/>
          </w:tcPr>
          <w:p>
            <w:pPr>
              <w:spacing w:line="400" w:lineRule="atLeast"/>
              <w:ind w:firstLine="1260" w:firstLineChars="45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DN50</w:t>
            </w:r>
          </w:p>
        </w:tc>
        <w:tc>
          <w:tcPr>
            <w:tcW w:w="3785" w:type="dxa"/>
            <w:vAlign w:val="center"/>
          </w:tcPr>
          <w:p>
            <w:pPr>
              <w:spacing w:line="400" w:lineRule="atLeas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400</w:t>
            </w:r>
          </w:p>
        </w:tc>
      </w:tr>
    </w:tbl>
    <w:p>
      <w:pPr>
        <w:rPr>
          <w:rFonts w:ascii="仿宋_GB2312" w:hAnsi="Times New Roman" w:eastAsia="仿宋_GB2312"/>
          <w:bCs/>
          <w:sz w:val="28"/>
          <w:szCs w:val="28"/>
        </w:rPr>
      </w:pPr>
      <w:r>
        <w:rPr>
          <w:rFonts w:hint="eastAsia" w:ascii="仿宋_GB2312" w:hAnsi="Times New Roman" w:eastAsia="仿宋_GB2312"/>
          <w:bCs/>
          <w:sz w:val="28"/>
          <w:szCs w:val="28"/>
        </w:rPr>
        <w:t>说明：软管检验试验包含软管拆装、盲板拆装、运输及水压试验，对合格的软管开具检测报告并挂牌。</w:t>
      </w:r>
    </w:p>
    <w:p>
      <w:pPr>
        <w:widowControl/>
        <w:jc w:val="left"/>
        <w:rPr>
          <w:rFonts w:ascii="仿宋_GB2312" w:hAnsi="Times New Roman" w:eastAsia="仿宋_GB2312" w:cs="宋体"/>
          <w:bCs/>
          <w:kern w:val="0"/>
          <w:sz w:val="32"/>
          <w:szCs w:val="32"/>
        </w:rPr>
      </w:pPr>
      <w:r>
        <w:rPr>
          <w:rFonts w:ascii="仿宋_GB2312" w:hAnsi="Times New Roman" w:eastAsia="仿宋_GB2312"/>
          <w:bCs/>
          <w:sz w:val="32"/>
          <w:szCs w:val="32"/>
        </w:rPr>
        <w:br w:type="page"/>
      </w:r>
    </w:p>
    <w:p>
      <w:pPr>
        <w:pStyle w:val="12"/>
        <w:rPr>
          <w:rFonts w:ascii="仿宋_GB2312" w:hAnsi="Times New Roman" w:eastAsia="仿宋_GB2312"/>
          <w:bCs/>
          <w:sz w:val="32"/>
          <w:szCs w:val="32"/>
        </w:rPr>
      </w:pPr>
      <w:r>
        <w:rPr>
          <w:rFonts w:hint="eastAsia" w:ascii="仿宋_GB2312" w:hAnsi="Times New Roman" w:eastAsia="仿宋_GB2312"/>
          <w:bCs/>
          <w:sz w:val="32"/>
          <w:szCs w:val="32"/>
        </w:rPr>
        <w:t>附件三：</w:t>
      </w:r>
    </w:p>
    <w:tbl>
      <w:tblPr>
        <w:tblStyle w:val="14"/>
        <w:tblW w:w="9429" w:type="dxa"/>
        <w:tblInd w:w="96" w:type="dxa"/>
        <w:tblLayout w:type="autofit"/>
        <w:tblCellMar>
          <w:top w:w="0" w:type="dxa"/>
          <w:left w:w="108" w:type="dxa"/>
          <w:bottom w:w="0" w:type="dxa"/>
          <w:right w:w="108" w:type="dxa"/>
        </w:tblCellMar>
      </w:tblPr>
      <w:tblGrid>
        <w:gridCol w:w="2161"/>
        <w:gridCol w:w="1689"/>
        <w:gridCol w:w="1093"/>
        <w:gridCol w:w="1149"/>
        <w:gridCol w:w="1141"/>
        <w:gridCol w:w="1068"/>
        <w:gridCol w:w="1128"/>
      </w:tblGrid>
      <w:tr>
        <w:tblPrEx>
          <w:tblCellMar>
            <w:top w:w="0" w:type="dxa"/>
            <w:left w:w="108" w:type="dxa"/>
            <w:bottom w:w="0" w:type="dxa"/>
            <w:right w:w="108" w:type="dxa"/>
          </w:tblCellMar>
        </w:tblPrEx>
        <w:trPr>
          <w:trHeight w:val="675" w:hRule="atLeast"/>
        </w:trPr>
        <w:tc>
          <w:tcPr>
            <w:tcW w:w="9429" w:type="dxa"/>
            <w:gridSpan w:val="7"/>
            <w:tcBorders>
              <w:top w:val="single" w:color="auto" w:sz="8" w:space="0"/>
              <w:left w:val="single" w:color="auto" w:sz="8" w:space="0"/>
              <w:bottom w:val="nil"/>
              <w:right w:val="single" w:color="000000" w:sz="8" w:space="0"/>
            </w:tcBorders>
            <w:shd w:val="clear" w:color="auto" w:fill="auto"/>
            <w:noWrap/>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动平衡取费标准(不含税）</w:t>
            </w:r>
          </w:p>
        </w:tc>
      </w:tr>
      <w:tr>
        <w:tblPrEx>
          <w:tblCellMar>
            <w:top w:w="0" w:type="dxa"/>
            <w:left w:w="108" w:type="dxa"/>
            <w:bottom w:w="0" w:type="dxa"/>
            <w:right w:w="108" w:type="dxa"/>
          </w:tblCellMar>
        </w:tblPrEx>
        <w:trPr>
          <w:trHeight w:val="675" w:hRule="atLeast"/>
        </w:trPr>
        <w:tc>
          <w:tcPr>
            <w:tcW w:w="216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9" w:type="dxa"/>
            <w:tcBorders>
              <w:top w:val="single" w:color="auto" w:sz="8" w:space="0"/>
              <w:left w:val="nil"/>
              <w:bottom w:val="single" w:color="auto" w:sz="8"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精度等级</w:t>
            </w:r>
            <w:r>
              <w:rPr>
                <w:rFonts w:hint="eastAsia" w:ascii="宋体" w:hAnsi="宋体" w:cs="宋体"/>
                <w:color w:val="000000"/>
                <w:kern w:val="0"/>
                <w:sz w:val="22"/>
              </w:rPr>
              <w:br w:type="textWrapping"/>
            </w:r>
            <w:r>
              <w:rPr>
                <w:rFonts w:hint="eastAsia" w:ascii="宋体" w:hAnsi="宋体" w:cs="宋体"/>
                <w:color w:val="000000"/>
                <w:kern w:val="0"/>
                <w:sz w:val="22"/>
              </w:rPr>
              <w:t xml:space="preserve">重量       </w:t>
            </w:r>
          </w:p>
        </w:tc>
        <w:tc>
          <w:tcPr>
            <w:tcW w:w="1093"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B1</w:t>
            </w:r>
            <w:r>
              <w:rPr>
                <w:rFonts w:hint="eastAsia" w:ascii="宋体" w:hAnsi="宋体" w:cs="宋体"/>
                <w:color w:val="000000"/>
                <w:kern w:val="0"/>
                <w:sz w:val="22"/>
              </w:rPr>
              <w:br w:type="textWrapping"/>
            </w:r>
            <w:r>
              <w:rPr>
                <w:rFonts w:hint="eastAsia" w:ascii="宋体" w:hAnsi="宋体" w:cs="宋体"/>
                <w:color w:val="000000"/>
                <w:kern w:val="0"/>
                <w:sz w:val="22"/>
              </w:rPr>
              <w:t>(G10)</w:t>
            </w:r>
          </w:p>
        </w:tc>
        <w:tc>
          <w:tcPr>
            <w:tcW w:w="1149"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B2</w:t>
            </w:r>
            <w:r>
              <w:rPr>
                <w:rFonts w:hint="eastAsia" w:ascii="宋体" w:hAnsi="宋体" w:cs="宋体"/>
                <w:color w:val="000000"/>
                <w:kern w:val="0"/>
                <w:sz w:val="22"/>
              </w:rPr>
              <w:br w:type="textWrapping"/>
            </w:r>
            <w:r>
              <w:rPr>
                <w:rFonts w:hint="eastAsia" w:ascii="宋体" w:hAnsi="宋体" w:cs="宋体"/>
                <w:color w:val="000000"/>
                <w:kern w:val="0"/>
                <w:sz w:val="22"/>
              </w:rPr>
              <w:t>(G6.3)</w:t>
            </w:r>
          </w:p>
        </w:tc>
        <w:tc>
          <w:tcPr>
            <w:tcW w:w="1141"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B3</w:t>
            </w:r>
            <w:r>
              <w:rPr>
                <w:rFonts w:hint="eastAsia" w:ascii="宋体" w:hAnsi="宋体" w:cs="宋体"/>
                <w:color w:val="000000"/>
                <w:kern w:val="0"/>
                <w:sz w:val="22"/>
              </w:rPr>
              <w:br w:type="textWrapping"/>
            </w:r>
            <w:r>
              <w:rPr>
                <w:rFonts w:hint="eastAsia" w:ascii="宋体" w:hAnsi="宋体" w:cs="宋体"/>
                <w:color w:val="000000"/>
                <w:kern w:val="0"/>
                <w:sz w:val="22"/>
              </w:rPr>
              <w:t>(G2.5)</w:t>
            </w:r>
          </w:p>
        </w:tc>
        <w:tc>
          <w:tcPr>
            <w:tcW w:w="1068"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B4</w:t>
            </w:r>
            <w:r>
              <w:rPr>
                <w:rFonts w:hint="eastAsia" w:ascii="宋体" w:hAnsi="宋体" w:cs="宋体"/>
                <w:color w:val="000000"/>
                <w:kern w:val="0"/>
                <w:sz w:val="22"/>
              </w:rPr>
              <w:br w:type="textWrapping"/>
            </w:r>
            <w:r>
              <w:rPr>
                <w:rFonts w:hint="eastAsia" w:ascii="宋体" w:hAnsi="宋体" w:cs="宋体"/>
                <w:color w:val="000000"/>
                <w:kern w:val="0"/>
                <w:sz w:val="22"/>
              </w:rPr>
              <w:t>(G1)</w:t>
            </w:r>
          </w:p>
        </w:tc>
        <w:tc>
          <w:tcPr>
            <w:tcW w:w="11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B1</w:t>
            </w:r>
            <w:r>
              <w:rPr>
                <w:rFonts w:hint="eastAsia" w:ascii="宋体" w:hAnsi="宋体" w:cs="宋体"/>
                <w:color w:val="000000"/>
                <w:kern w:val="0"/>
                <w:sz w:val="22"/>
              </w:rPr>
              <w:br w:type="textWrapping"/>
            </w:r>
            <w:r>
              <w:rPr>
                <w:rFonts w:hint="eastAsia" w:ascii="宋体" w:hAnsi="宋体" w:cs="宋体"/>
                <w:color w:val="000000"/>
                <w:kern w:val="0"/>
                <w:sz w:val="22"/>
              </w:rPr>
              <w:t>(G0.4)</w:t>
            </w:r>
          </w:p>
        </w:tc>
      </w:tr>
      <w:tr>
        <w:tblPrEx>
          <w:tblCellMar>
            <w:top w:w="0" w:type="dxa"/>
            <w:left w:w="108" w:type="dxa"/>
            <w:bottom w:w="0" w:type="dxa"/>
            <w:right w:w="108" w:type="dxa"/>
          </w:tblCellMar>
        </w:tblPrEx>
        <w:trPr>
          <w:trHeight w:val="300" w:hRule="atLeast"/>
        </w:trPr>
        <w:tc>
          <w:tcPr>
            <w:tcW w:w="2161" w:type="dxa"/>
            <w:vMerge w:val="restart"/>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低速转子 动平衡</w:t>
            </w:r>
          </w:p>
        </w:tc>
        <w:tc>
          <w:tcPr>
            <w:tcW w:w="1689" w:type="dxa"/>
            <w:tcBorders>
              <w:top w:val="nil"/>
              <w:left w:val="nil"/>
              <w:bottom w:val="single" w:color="auto" w:sz="8"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单位:KG</w:t>
            </w:r>
          </w:p>
        </w:tc>
        <w:tc>
          <w:tcPr>
            <w:tcW w:w="5579" w:type="dxa"/>
            <w:gridSpan w:val="5"/>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                          单位: RMB</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A1(0-50)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A2(≤100)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A3(≤200)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A4(≤300)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A5(≤400)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A6(≤500)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A7(≤1000)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A8(&gt;1000)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8000</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11000</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15000</w:t>
            </w:r>
          </w:p>
        </w:tc>
      </w:tr>
      <w:tr>
        <w:tblPrEx>
          <w:tblCellMar>
            <w:top w:w="0" w:type="dxa"/>
            <w:left w:w="108" w:type="dxa"/>
            <w:bottom w:w="0" w:type="dxa"/>
            <w:right w:w="108" w:type="dxa"/>
          </w:tblCellMar>
        </w:tblPrEx>
        <w:trPr>
          <w:trHeight w:val="300" w:hRule="atLeast"/>
        </w:trPr>
        <w:tc>
          <w:tcPr>
            <w:tcW w:w="2161" w:type="dxa"/>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68"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00" w:hRule="atLeast"/>
        </w:trPr>
        <w:tc>
          <w:tcPr>
            <w:tcW w:w="2161"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高速转子 动平衡</w:t>
            </w:r>
          </w:p>
        </w:tc>
        <w:tc>
          <w:tcPr>
            <w:tcW w:w="16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C1(≤500)</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1128"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12000</w:t>
            </w:r>
          </w:p>
        </w:tc>
      </w:tr>
      <w:tr>
        <w:tblPrEx>
          <w:tblCellMar>
            <w:top w:w="0" w:type="dxa"/>
            <w:left w:w="108" w:type="dxa"/>
            <w:bottom w:w="0" w:type="dxa"/>
            <w:right w:w="108" w:type="dxa"/>
          </w:tblCellMar>
        </w:tblPrEx>
        <w:trPr>
          <w:trHeight w:val="300" w:hRule="atLeast"/>
        </w:trPr>
        <w:tc>
          <w:tcPr>
            <w:tcW w:w="216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szCs w:val="24"/>
              </w:rPr>
            </w:pPr>
          </w:p>
        </w:tc>
        <w:tc>
          <w:tcPr>
            <w:tcW w:w="1689" w:type="dxa"/>
            <w:tcBorders>
              <w:top w:val="nil"/>
              <w:left w:val="nil"/>
              <w:bottom w:val="single" w:color="auto" w:sz="8"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C2(&gt;500)</w:t>
            </w:r>
          </w:p>
        </w:tc>
        <w:tc>
          <w:tcPr>
            <w:tcW w:w="1093"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49"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41"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12000</w:t>
            </w:r>
          </w:p>
        </w:tc>
        <w:tc>
          <w:tcPr>
            <w:tcW w:w="1128"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15000</w:t>
            </w:r>
          </w:p>
        </w:tc>
      </w:tr>
      <w:tr>
        <w:tblPrEx>
          <w:tblCellMar>
            <w:top w:w="0" w:type="dxa"/>
            <w:left w:w="108" w:type="dxa"/>
            <w:bottom w:w="0" w:type="dxa"/>
            <w:right w:w="108" w:type="dxa"/>
          </w:tblCellMar>
        </w:tblPrEx>
        <w:trPr>
          <w:trHeight w:val="450" w:hRule="atLeast"/>
        </w:trPr>
        <w:tc>
          <w:tcPr>
            <w:tcW w:w="9429" w:type="dxa"/>
            <w:gridSpan w:val="7"/>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b/>
                <w:bCs/>
                <w:color w:val="000000"/>
                <w:kern w:val="0"/>
                <w:sz w:val="24"/>
                <w:szCs w:val="24"/>
              </w:rPr>
              <w:t>测试品种</w:t>
            </w:r>
            <w:r>
              <w:rPr>
                <w:rFonts w:hint="eastAsia" w:ascii="宋体" w:hAnsi="宋体" w:cs="宋体"/>
                <w:color w:val="000000"/>
                <w:kern w:val="0"/>
                <w:sz w:val="24"/>
                <w:szCs w:val="24"/>
              </w:rPr>
              <w:t>：轴类、盘类和重心外伸转子（普通型和特殊型转子）</w:t>
            </w:r>
          </w:p>
        </w:tc>
      </w:tr>
      <w:tr>
        <w:tblPrEx>
          <w:tblCellMar>
            <w:top w:w="0" w:type="dxa"/>
            <w:left w:w="108" w:type="dxa"/>
            <w:bottom w:w="0" w:type="dxa"/>
            <w:right w:w="108" w:type="dxa"/>
          </w:tblCellMar>
        </w:tblPrEx>
        <w:trPr>
          <w:trHeight w:val="510" w:hRule="atLeast"/>
        </w:trPr>
        <w:tc>
          <w:tcPr>
            <w:tcW w:w="9429" w:type="dxa"/>
            <w:gridSpan w:val="7"/>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报价说明：</w:t>
            </w:r>
          </w:p>
        </w:tc>
      </w:tr>
      <w:tr>
        <w:tblPrEx>
          <w:tblCellMar>
            <w:top w:w="0" w:type="dxa"/>
            <w:left w:w="108" w:type="dxa"/>
            <w:bottom w:w="0" w:type="dxa"/>
            <w:right w:w="108" w:type="dxa"/>
          </w:tblCellMar>
        </w:tblPrEx>
        <w:trPr>
          <w:trHeight w:val="345" w:hRule="atLeast"/>
        </w:trPr>
        <w:tc>
          <w:tcPr>
            <w:tcW w:w="9429" w:type="dxa"/>
            <w:gridSpan w:val="7"/>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1、特殊型转子按动平衡报价的150%计算。</w:t>
            </w:r>
          </w:p>
        </w:tc>
      </w:tr>
      <w:tr>
        <w:tblPrEx>
          <w:tblCellMar>
            <w:top w:w="0" w:type="dxa"/>
            <w:left w:w="108" w:type="dxa"/>
            <w:bottom w:w="0" w:type="dxa"/>
            <w:right w:w="108" w:type="dxa"/>
          </w:tblCellMar>
        </w:tblPrEx>
        <w:trPr>
          <w:trHeight w:val="390" w:hRule="atLeast"/>
        </w:trPr>
        <w:tc>
          <w:tcPr>
            <w:tcW w:w="9429" w:type="dxa"/>
            <w:gridSpan w:val="7"/>
            <w:tcBorders>
              <w:top w:val="single" w:color="auto" w:sz="4"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2、转轴长度一般在1米以下，超过1米加收超长费，1米--1.7米加收5%，1.7米以上加收10%。</w:t>
            </w:r>
          </w:p>
        </w:tc>
      </w:tr>
    </w:tbl>
    <w:p>
      <w:pPr>
        <w:pStyle w:val="12"/>
        <w:rPr>
          <w:rFonts w:ascii="仿宋_GB2312" w:hAnsi="Times New Roman" w:eastAsia="仿宋_GB2312"/>
          <w:bCs/>
          <w:sz w:val="32"/>
          <w:szCs w:val="32"/>
        </w:rPr>
      </w:pPr>
    </w:p>
    <w:p>
      <w:pPr>
        <w:widowControl/>
        <w:jc w:val="left"/>
        <w:rPr>
          <w:rFonts w:ascii="仿宋_GB2312" w:hAnsi="Times New Roman" w:eastAsia="仿宋_GB2312" w:cs="宋体"/>
          <w:bCs/>
          <w:kern w:val="0"/>
          <w:sz w:val="32"/>
          <w:szCs w:val="32"/>
        </w:rPr>
      </w:pPr>
      <w:r>
        <w:rPr>
          <w:rFonts w:ascii="仿宋_GB2312" w:hAnsi="Times New Roman" w:eastAsia="仿宋_GB2312"/>
          <w:bCs/>
          <w:sz w:val="32"/>
          <w:szCs w:val="32"/>
        </w:rPr>
        <w:br w:type="page"/>
      </w:r>
    </w:p>
    <w:p>
      <w:pPr>
        <w:pStyle w:val="12"/>
        <w:rPr>
          <w:rFonts w:ascii="仿宋_GB2312" w:hAnsi="Times New Roman" w:eastAsia="仿宋_GB2312"/>
          <w:bCs/>
          <w:sz w:val="32"/>
          <w:szCs w:val="32"/>
        </w:rPr>
      </w:pPr>
      <w:r>
        <w:rPr>
          <w:rFonts w:hint="eastAsia" w:ascii="仿宋_GB2312" w:hAnsi="Times New Roman" w:eastAsia="仿宋_GB2312"/>
          <w:bCs/>
          <w:sz w:val="32"/>
          <w:szCs w:val="32"/>
        </w:rPr>
        <w:t>附件四：</w:t>
      </w:r>
    </w:p>
    <w:tbl>
      <w:tblPr>
        <w:tblStyle w:val="14"/>
        <w:tblW w:w="7740" w:type="dxa"/>
        <w:tblInd w:w="96" w:type="dxa"/>
        <w:tblLayout w:type="autofit"/>
        <w:tblCellMar>
          <w:top w:w="0" w:type="dxa"/>
          <w:left w:w="108" w:type="dxa"/>
          <w:bottom w:w="0" w:type="dxa"/>
          <w:right w:w="108" w:type="dxa"/>
        </w:tblCellMar>
      </w:tblPr>
      <w:tblGrid>
        <w:gridCol w:w="416"/>
        <w:gridCol w:w="1674"/>
        <w:gridCol w:w="1674"/>
        <w:gridCol w:w="1674"/>
        <w:gridCol w:w="693"/>
        <w:gridCol w:w="1660"/>
      </w:tblGrid>
      <w:tr>
        <w:tblPrEx>
          <w:tblCellMar>
            <w:top w:w="0" w:type="dxa"/>
            <w:left w:w="108" w:type="dxa"/>
            <w:bottom w:w="0" w:type="dxa"/>
            <w:right w:w="108" w:type="dxa"/>
          </w:tblCellMar>
        </w:tblPrEx>
        <w:trPr>
          <w:trHeight w:val="510" w:hRule="atLeast"/>
        </w:trPr>
        <w:tc>
          <w:tcPr>
            <w:tcW w:w="7740" w:type="dxa"/>
            <w:gridSpan w:val="6"/>
            <w:tcBorders>
              <w:top w:val="nil"/>
              <w:left w:val="nil"/>
              <w:bottom w:val="single" w:color="auto" w:sz="4" w:space="0"/>
              <w:right w:val="nil"/>
            </w:tcBorders>
            <w:shd w:val="clear" w:color="auto" w:fill="auto"/>
            <w:noWrap/>
            <w:vAlign w:val="center"/>
          </w:tcPr>
          <w:p>
            <w:pPr>
              <w:widowControl/>
              <w:jc w:val="center"/>
              <w:rPr>
                <w:rFonts w:ascii="楷体" w:hAnsi="楷体" w:eastAsia="楷体" w:cs="宋体"/>
                <w:b/>
                <w:bCs/>
                <w:kern w:val="0"/>
                <w:sz w:val="24"/>
                <w:szCs w:val="24"/>
              </w:rPr>
            </w:pPr>
            <w:r>
              <w:rPr>
                <w:rFonts w:hint="eastAsia" w:ascii="楷体" w:hAnsi="楷体" w:eastAsia="楷体" w:cs="宋体"/>
                <w:b/>
                <w:bCs/>
                <w:kern w:val="0"/>
                <w:sz w:val="24"/>
                <w:szCs w:val="24"/>
              </w:rPr>
              <w:t>热电部锅炉系统安全阀在线校验价格（不含税）</w:t>
            </w:r>
          </w:p>
        </w:tc>
      </w:tr>
      <w:tr>
        <w:tblPrEx>
          <w:tblCellMar>
            <w:top w:w="0" w:type="dxa"/>
            <w:left w:w="108" w:type="dxa"/>
            <w:bottom w:w="0" w:type="dxa"/>
            <w:right w:w="108" w:type="dxa"/>
          </w:tblCellMar>
        </w:tblPrEx>
        <w:trPr>
          <w:trHeight w:val="570"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序</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名称</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安全阀编号</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安全阀型号</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数量</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在线（热态）校验费（元）</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炉4-1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炉4-2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炉5-1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炉5-2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#6</w:t>
            </w:r>
            <w:r>
              <w:rPr>
                <w:rFonts w:hint="eastAsia" w:ascii="宋体" w:hAnsi="宋体"/>
                <w:color w:val="000000"/>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炉6-1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#6</w:t>
            </w:r>
            <w:r>
              <w:rPr>
                <w:rFonts w:hint="eastAsia" w:ascii="宋体" w:hAnsi="宋体"/>
                <w:color w:val="000000"/>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炉6-2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炉7-1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炉7-2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#8</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炉8-1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#8</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炉8-2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A69Y-P54</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#9</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炉9-1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HCA-W-78</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7926</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#9</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炉9-2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HE-W-76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7926</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#9</w:t>
            </w:r>
            <w:r>
              <w:rPr>
                <w:rFonts w:hint="eastAsia" w:ascii="宋体" w:hAnsi="宋体"/>
                <w:kern w:val="0"/>
                <w:sz w:val="20"/>
                <w:szCs w:val="20"/>
              </w:rPr>
              <w:t>锅炉</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炉9-3</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HE-W-76</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7926</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机4</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机4-1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机4</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 4-2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机5</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机5-1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机5</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机5-2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机6</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机6-1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19</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机6</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机6-2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20</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机7</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机7-1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机7</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机7-2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机8</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机8-1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机8</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机8-2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减温减压器</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减压-1</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减温减压器</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减压-2</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重锤.脉冲</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5524</w:t>
            </w:r>
          </w:p>
        </w:tc>
      </w:tr>
      <w:tr>
        <w:tblPrEx>
          <w:tblCellMar>
            <w:top w:w="0" w:type="dxa"/>
            <w:left w:w="108" w:type="dxa"/>
            <w:bottom w:w="0" w:type="dxa"/>
            <w:right w:w="108" w:type="dxa"/>
          </w:tblCellMar>
        </w:tblPrEx>
        <w:trPr>
          <w:trHeight w:val="318" w:hRule="atLeast"/>
        </w:trPr>
        <w:tc>
          <w:tcPr>
            <w:tcW w:w="3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67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6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264" w:hRule="atLeast"/>
        </w:trPr>
        <w:tc>
          <w:tcPr>
            <w:tcW w:w="365" w:type="dxa"/>
            <w:tcBorders>
              <w:top w:val="nil"/>
              <w:left w:val="nil"/>
              <w:bottom w:val="nil"/>
              <w:right w:val="nil"/>
            </w:tcBorders>
            <w:shd w:val="clear" w:color="auto" w:fill="auto"/>
            <w:noWrap/>
            <w:vAlign w:val="bottom"/>
          </w:tcPr>
          <w:p>
            <w:pPr>
              <w:widowControl/>
              <w:jc w:val="center"/>
              <w:rPr>
                <w:rFonts w:ascii="楷体" w:hAnsi="楷体" w:eastAsia="楷体" w:cs="宋体"/>
                <w:kern w:val="0"/>
                <w:sz w:val="20"/>
                <w:szCs w:val="20"/>
              </w:rPr>
            </w:pPr>
          </w:p>
        </w:tc>
        <w:tc>
          <w:tcPr>
            <w:tcW w:w="1674" w:type="dxa"/>
            <w:tcBorders>
              <w:top w:val="nil"/>
              <w:left w:val="nil"/>
              <w:bottom w:val="nil"/>
              <w:right w:val="nil"/>
            </w:tcBorders>
            <w:shd w:val="clear" w:color="auto" w:fill="auto"/>
            <w:noWrap/>
            <w:vAlign w:val="bottom"/>
          </w:tcPr>
          <w:p>
            <w:pPr>
              <w:widowControl/>
              <w:jc w:val="center"/>
              <w:rPr>
                <w:rFonts w:ascii="宋体" w:hAnsi="宋体" w:cs="宋体"/>
                <w:kern w:val="0"/>
                <w:sz w:val="20"/>
                <w:szCs w:val="20"/>
              </w:rPr>
            </w:pPr>
          </w:p>
        </w:tc>
        <w:tc>
          <w:tcPr>
            <w:tcW w:w="1674" w:type="dxa"/>
            <w:tcBorders>
              <w:top w:val="nil"/>
              <w:left w:val="nil"/>
              <w:bottom w:val="nil"/>
              <w:right w:val="nil"/>
            </w:tcBorders>
            <w:shd w:val="clear" w:color="auto" w:fill="auto"/>
            <w:noWrap/>
            <w:vAlign w:val="bottom"/>
          </w:tcPr>
          <w:p>
            <w:pPr>
              <w:widowControl/>
              <w:jc w:val="center"/>
              <w:rPr>
                <w:rFonts w:ascii="宋体" w:hAnsi="宋体" w:cs="宋体"/>
                <w:kern w:val="0"/>
                <w:sz w:val="20"/>
                <w:szCs w:val="20"/>
              </w:rPr>
            </w:pPr>
          </w:p>
        </w:tc>
        <w:tc>
          <w:tcPr>
            <w:tcW w:w="1674" w:type="dxa"/>
            <w:tcBorders>
              <w:top w:val="nil"/>
              <w:left w:val="nil"/>
              <w:bottom w:val="nil"/>
              <w:right w:val="nil"/>
            </w:tcBorders>
            <w:shd w:val="clear" w:color="auto" w:fill="auto"/>
            <w:noWrap/>
            <w:vAlign w:val="bottom"/>
          </w:tcPr>
          <w:p>
            <w:pPr>
              <w:widowControl/>
              <w:jc w:val="center"/>
              <w:rPr>
                <w:rFonts w:ascii="楷体" w:hAnsi="楷体" w:eastAsia="楷体" w:cs="宋体"/>
                <w:kern w:val="0"/>
                <w:sz w:val="20"/>
                <w:szCs w:val="20"/>
              </w:rPr>
            </w:pPr>
          </w:p>
        </w:tc>
        <w:tc>
          <w:tcPr>
            <w:tcW w:w="693" w:type="dxa"/>
            <w:tcBorders>
              <w:top w:val="nil"/>
              <w:left w:val="nil"/>
              <w:bottom w:val="nil"/>
              <w:right w:val="nil"/>
            </w:tcBorders>
            <w:shd w:val="clear" w:color="auto" w:fill="auto"/>
            <w:noWrap/>
            <w:vAlign w:val="bottom"/>
          </w:tcPr>
          <w:p>
            <w:pPr>
              <w:widowControl/>
              <w:jc w:val="right"/>
              <w:rPr>
                <w:rFonts w:ascii="楷体" w:hAnsi="楷体" w:eastAsia="楷体" w:cs="宋体"/>
                <w:kern w:val="0"/>
                <w:sz w:val="20"/>
                <w:szCs w:val="20"/>
              </w:rPr>
            </w:pPr>
          </w:p>
        </w:tc>
        <w:tc>
          <w:tcPr>
            <w:tcW w:w="1660" w:type="dxa"/>
            <w:tcBorders>
              <w:top w:val="nil"/>
              <w:left w:val="nil"/>
              <w:bottom w:val="nil"/>
              <w:right w:val="nil"/>
            </w:tcBorders>
            <w:shd w:val="clear" w:color="auto" w:fill="auto"/>
            <w:noWrap/>
            <w:vAlign w:val="center"/>
          </w:tcPr>
          <w:p>
            <w:pPr>
              <w:widowControl/>
              <w:jc w:val="left"/>
              <w:rPr>
                <w:rFonts w:ascii="楷体" w:hAnsi="楷体" w:eastAsia="楷体" w:cs="宋体"/>
                <w:kern w:val="0"/>
                <w:sz w:val="20"/>
                <w:szCs w:val="20"/>
              </w:rPr>
            </w:pPr>
          </w:p>
        </w:tc>
      </w:tr>
    </w:tbl>
    <w:p>
      <w:pPr>
        <w:pStyle w:val="12"/>
        <w:rPr>
          <w:rFonts w:ascii="仿宋_GB2312" w:hAnsi="Times New Roman" w:eastAsia="仿宋_GB2312"/>
          <w:bCs/>
          <w:sz w:val="32"/>
          <w:szCs w:val="32"/>
        </w:rPr>
      </w:pPr>
    </w:p>
    <w:p>
      <w:pPr>
        <w:widowControl/>
        <w:jc w:val="left"/>
        <w:rPr>
          <w:rFonts w:ascii="仿宋_GB2312" w:hAnsi="Times New Roman" w:eastAsia="仿宋_GB2312" w:cs="宋体"/>
          <w:bCs/>
          <w:kern w:val="0"/>
          <w:sz w:val="32"/>
          <w:szCs w:val="32"/>
        </w:rPr>
      </w:pPr>
      <w:r>
        <w:rPr>
          <w:rFonts w:ascii="仿宋_GB2312" w:hAnsi="Times New Roman" w:eastAsia="仿宋_GB2312"/>
          <w:bCs/>
          <w:sz w:val="32"/>
          <w:szCs w:val="32"/>
        </w:rPr>
        <w:br w:type="page"/>
      </w:r>
    </w:p>
    <w:p>
      <w:pPr>
        <w:pStyle w:val="12"/>
        <w:rPr>
          <w:rFonts w:ascii="仿宋_GB2312" w:hAnsi="Times New Roman" w:eastAsia="仿宋_GB2312"/>
          <w:bCs/>
          <w:sz w:val="32"/>
          <w:szCs w:val="32"/>
        </w:rPr>
      </w:pPr>
      <w:r>
        <w:rPr>
          <w:rFonts w:hint="eastAsia" w:ascii="仿宋_GB2312" w:hAnsi="Times New Roman" w:eastAsia="仿宋_GB2312"/>
          <w:bCs/>
          <w:sz w:val="32"/>
          <w:szCs w:val="32"/>
        </w:rPr>
        <w:t xml:space="preserve">附件五：         </w:t>
      </w:r>
      <w:r>
        <w:rPr>
          <w:rFonts w:hint="eastAsia"/>
          <w:b/>
          <w:bCs/>
          <w:sz w:val="28"/>
          <w:szCs w:val="28"/>
        </w:rPr>
        <w:t>离线安全阀校验计价表</w:t>
      </w:r>
    </w:p>
    <w:tbl>
      <w:tblPr>
        <w:tblStyle w:val="14"/>
        <w:tblW w:w="6944" w:type="dxa"/>
        <w:jc w:val="center"/>
        <w:tblLayout w:type="fixed"/>
        <w:tblCellMar>
          <w:top w:w="0" w:type="dxa"/>
          <w:left w:w="108" w:type="dxa"/>
          <w:bottom w:w="0" w:type="dxa"/>
          <w:right w:w="108" w:type="dxa"/>
        </w:tblCellMar>
      </w:tblPr>
      <w:tblGrid>
        <w:gridCol w:w="550"/>
        <w:gridCol w:w="2053"/>
        <w:gridCol w:w="1695"/>
        <w:gridCol w:w="1279"/>
        <w:gridCol w:w="1367"/>
      </w:tblGrid>
      <w:tr>
        <w:tblPrEx>
          <w:tblCellMar>
            <w:top w:w="0" w:type="dxa"/>
            <w:left w:w="108" w:type="dxa"/>
            <w:bottom w:w="0" w:type="dxa"/>
            <w:right w:w="108" w:type="dxa"/>
          </w:tblCellMar>
        </w:tblPrEx>
        <w:trPr>
          <w:trHeight w:val="454" w:hRule="atLeast"/>
          <w:jc w:val="center"/>
        </w:trPr>
        <w:tc>
          <w:tcPr>
            <w:tcW w:w="4298"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bottom"/>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型号规格</w:t>
            </w:r>
          </w:p>
        </w:tc>
        <w:tc>
          <w:tcPr>
            <w:tcW w:w="264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textAlignment w:val="bottom"/>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单价（</w:t>
            </w:r>
            <w:r>
              <w:rPr>
                <w:rStyle w:val="37"/>
                <w:color w:val="000000" w:themeColor="text1"/>
                <w14:textFill>
                  <w14:solidFill>
                    <w14:schemeClr w14:val="tx1"/>
                  </w14:solidFill>
                </w14:textFill>
              </w:rPr>
              <w:t>RMB</w:t>
            </w:r>
            <w:r>
              <w:rPr>
                <w:rStyle w:val="38"/>
                <w:rFonts w:hint="default"/>
                <w:color w:val="000000" w:themeColor="text1"/>
                <w14:textFill>
                  <w14:solidFill>
                    <w14:schemeClr w14:val="tx1"/>
                  </w14:solidFill>
                </w14:textFill>
              </w:rPr>
              <w:t>元</w:t>
            </w:r>
            <w:r>
              <w:rPr>
                <w:rStyle w:val="37"/>
                <w:color w:val="000000" w:themeColor="text1"/>
                <w14:textFill>
                  <w14:solidFill>
                    <w14:schemeClr w14:val="tx1"/>
                  </w14:solidFill>
                </w14:textFill>
              </w:rPr>
              <w:t>/</w:t>
            </w:r>
            <w:r>
              <w:rPr>
                <w:rStyle w:val="38"/>
                <w:rFonts w:hint="default"/>
                <w:color w:val="000000" w:themeColor="text1"/>
                <w14:textFill>
                  <w14:solidFill>
                    <w14:schemeClr w14:val="tx1"/>
                  </w14:solidFill>
                </w14:textFill>
              </w:rPr>
              <w:t>只</w:t>
            </w:r>
            <w:r>
              <w:rPr>
                <w:rStyle w:val="39"/>
                <w:rFonts w:hint="default"/>
                <w:color w:val="000000" w:themeColor="text1"/>
                <w14:textFill>
                  <w14:solidFill>
                    <w14:schemeClr w14:val="tx1"/>
                  </w14:solidFill>
                </w14:textFill>
              </w:rPr>
              <w:t>不含税价</w:t>
            </w:r>
            <w:r>
              <w:rPr>
                <w:rStyle w:val="38"/>
                <w:rFonts w:hint="default"/>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300" w:hRule="atLeast"/>
          <w:jc w:val="center"/>
        </w:trPr>
        <w:tc>
          <w:tcPr>
            <w:tcW w:w="55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kern w:val="0"/>
                <w:sz w:val="20"/>
                <w:szCs w:val="20"/>
                <w14:textFill>
                  <w14:solidFill>
                    <w14:schemeClr w14:val="tx1"/>
                  </w14:solidFill>
                </w14:textFill>
              </w:rPr>
              <w:t>a</w:t>
            </w:r>
          </w:p>
        </w:tc>
        <w:tc>
          <w:tcPr>
            <w:tcW w:w="2053" w:type="dxa"/>
            <w:tcBorders>
              <w:top w:val="single" w:color="000000" w:sz="8" w:space="0"/>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kern w:val="0"/>
                <w:sz w:val="20"/>
                <w:szCs w:val="20"/>
                <w14:textFill>
                  <w14:solidFill>
                    <w14:schemeClr w14:val="tx1"/>
                  </w14:solidFill>
                </w14:textFill>
              </w:rPr>
              <w:t>b</w:t>
            </w:r>
          </w:p>
        </w:tc>
        <w:tc>
          <w:tcPr>
            <w:tcW w:w="1695" w:type="dxa"/>
            <w:tcBorders>
              <w:top w:val="single" w:color="000000" w:sz="8" w:space="0"/>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kern w:val="0"/>
                <w:sz w:val="20"/>
                <w:szCs w:val="20"/>
                <w14:textFill>
                  <w14:solidFill>
                    <w14:schemeClr w14:val="tx1"/>
                  </w14:solidFill>
                </w14:textFill>
              </w:rPr>
              <w:t>c</w:t>
            </w:r>
          </w:p>
        </w:tc>
        <w:tc>
          <w:tcPr>
            <w:tcW w:w="1279" w:type="dxa"/>
            <w:tcBorders>
              <w:top w:val="single" w:color="000000" w:sz="8" w:space="0"/>
              <w:left w:val="nil"/>
              <w:bottom w:val="single" w:color="000000" w:sz="8" w:space="0"/>
              <w:right w:val="nil"/>
            </w:tcBorders>
            <w:shd w:val="clear" w:color="auto" w:fill="FFFFFF" w:themeFill="background1"/>
            <w:noWrap/>
            <w:vAlign w:val="bottom"/>
          </w:tcPr>
          <w:p>
            <w:pPr>
              <w:widowControl/>
              <w:jc w:val="center"/>
              <w:textAlignment w:val="bottom"/>
              <w:rPr>
                <w:rFonts w:ascii="Arial" w:hAnsi="Arial" w:cs="Arial"/>
                <w:b/>
                <w:bCs/>
                <w:color w:val="000000" w:themeColor="text1"/>
                <w:sz w:val="16"/>
                <w:szCs w:val="16"/>
                <w14:textFill>
                  <w14:solidFill>
                    <w14:schemeClr w14:val="tx1"/>
                  </w14:solidFill>
                </w14:textFill>
              </w:rPr>
            </w:pPr>
            <w:r>
              <w:rPr>
                <w:rFonts w:ascii="Arial" w:hAnsi="Arial" w:cs="Arial"/>
                <w:b/>
                <w:bCs/>
                <w:color w:val="000000" w:themeColor="text1"/>
                <w:kern w:val="0"/>
                <w:sz w:val="16"/>
                <w:szCs w:val="16"/>
                <w14:textFill>
                  <w14:solidFill>
                    <w14:schemeClr w14:val="tx1"/>
                  </w14:solidFill>
                </w14:textFill>
              </w:rPr>
              <w:t>1</w:t>
            </w:r>
          </w:p>
        </w:tc>
        <w:tc>
          <w:tcPr>
            <w:tcW w:w="136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b/>
                <w:bCs/>
                <w:color w:val="000000" w:themeColor="text1"/>
                <w:sz w:val="16"/>
                <w:szCs w:val="16"/>
                <w14:textFill>
                  <w14:solidFill>
                    <w14:schemeClr w14:val="tx1"/>
                  </w14:solidFill>
                </w14:textFill>
              </w:rPr>
            </w:pPr>
            <w:r>
              <w:rPr>
                <w:rFonts w:ascii="Arial" w:hAnsi="Arial" w:cs="Arial"/>
                <w:b/>
                <w:bCs/>
                <w:color w:val="000000" w:themeColor="text1"/>
                <w:kern w:val="0"/>
                <w:sz w:val="16"/>
                <w:szCs w:val="16"/>
                <w14:textFill>
                  <w14:solidFill>
                    <w14:schemeClr w14:val="tx1"/>
                  </w14:solidFill>
                </w14:textFill>
              </w:rPr>
              <w:t>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nil"/>
              <w:right w:val="nil"/>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2053"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型号或</w:t>
            </w:r>
          </w:p>
        </w:tc>
        <w:tc>
          <w:tcPr>
            <w:tcW w:w="1695" w:type="dxa"/>
            <w:tcBorders>
              <w:top w:val="nil"/>
              <w:left w:val="nil"/>
              <w:bottom w:val="nil"/>
              <w:right w:val="nil"/>
            </w:tcBorders>
            <w:shd w:val="clear" w:color="auto" w:fill="auto"/>
            <w:noWrap/>
            <w:vAlign w:val="bottom"/>
          </w:tcPr>
          <w:p>
            <w:pPr>
              <w:jc w:val="center"/>
              <w:rPr>
                <w:rFonts w:ascii="Arial" w:hAnsi="Arial" w:cs="Arial"/>
                <w:color w:val="000000" w:themeColor="text1"/>
                <w:sz w:val="20"/>
                <w:szCs w:val="20"/>
                <w14:textFill>
                  <w14:solidFill>
                    <w14:schemeClr w14:val="tx1"/>
                  </w14:solidFill>
                </w14:textFill>
              </w:rPr>
            </w:pPr>
          </w:p>
        </w:tc>
        <w:tc>
          <w:tcPr>
            <w:tcW w:w="1279" w:type="dxa"/>
            <w:tcBorders>
              <w:top w:val="nil"/>
              <w:left w:val="single" w:color="000000" w:sz="8" w:space="0"/>
              <w:bottom w:val="single" w:color="000000" w:sz="8" w:space="0"/>
              <w:right w:val="nil"/>
            </w:tcBorders>
            <w:shd w:val="clear" w:color="auto" w:fill="FFFFFF" w:themeFill="background1"/>
            <w:noWrap/>
            <w:vAlign w:val="bottom"/>
          </w:tcPr>
          <w:p>
            <w:pPr>
              <w:widowControl/>
              <w:jc w:val="center"/>
              <w:textAlignment w:val="bottom"/>
              <w:rPr>
                <w:rFonts w:ascii="MS UI Gothic" w:hAnsi="MS UI Gothic" w:eastAsia="MS UI Gothic" w:cs="MS UI Gothic"/>
                <w:color w:val="000000" w:themeColor="text1"/>
                <w:sz w:val="16"/>
                <w:szCs w:val="16"/>
                <w14:textFill>
                  <w14:solidFill>
                    <w14:schemeClr w14:val="tx1"/>
                  </w14:solidFill>
                </w14:textFill>
              </w:rPr>
            </w:pPr>
            <w:r>
              <w:rPr>
                <w:rFonts w:hint="eastAsia" w:ascii="MS UI Gothic" w:hAnsi="MS UI Gothic" w:eastAsia="MS UI Gothic" w:cs="MS UI Gothic"/>
                <w:color w:val="000000" w:themeColor="text1"/>
                <w:kern w:val="0"/>
                <w:sz w:val="16"/>
                <w:szCs w:val="16"/>
                <w14:textFill>
                  <w14:solidFill>
                    <w14:schemeClr w14:val="tx1"/>
                  </w14:solidFill>
                </w14:textFill>
              </w:rPr>
              <w:t>国</w:t>
            </w:r>
            <w:r>
              <w:rPr>
                <w:rStyle w:val="40"/>
                <w:rFonts w:hint="default"/>
                <w:color w:val="000000" w:themeColor="text1"/>
                <w14:textFill>
                  <w14:solidFill>
                    <w14:schemeClr w14:val="tx1"/>
                  </w14:solidFill>
                </w14:textFill>
              </w:rPr>
              <w:t>产</w:t>
            </w:r>
            <w:r>
              <w:rPr>
                <w:rStyle w:val="41"/>
                <w:rFonts w:hint="default"/>
                <w:color w:val="000000" w:themeColor="text1"/>
                <w14:textFill>
                  <w14:solidFill>
                    <w14:schemeClr w14:val="tx1"/>
                  </w14:solidFill>
                </w14:textFill>
              </w:rPr>
              <w:t>旧</w:t>
            </w:r>
            <w:r>
              <w:rPr>
                <w:rStyle w:val="40"/>
                <w:rFonts w:hint="default"/>
                <w:color w:val="000000" w:themeColor="text1"/>
                <w14:textFill>
                  <w14:solidFill>
                    <w14:schemeClr w14:val="tx1"/>
                  </w14:solidFill>
                </w14:textFill>
              </w:rPr>
              <w:t>阀</w:t>
            </w:r>
          </w:p>
        </w:tc>
        <w:tc>
          <w:tcPr>
            <w:tcW w:w="1367" w:type="dxa"/>
            <w:tcBorders>
              <w:top w:val="nil"/>
              <w:left w:val="single" w:color="000000" w:sz="8" w:space="0"/>
              <w:bottom w:val="single" w:color="000000" w:sz="8" w:space="0"/>
              <w:right w:val="single" w:color="000000" w:sz="8" w:space="0"/>
            </w:tcBorders>
            <w:shd w:val="clear" w:color="auto" w:fill="FFFFFF" w:themeFill="background1"/>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进</w:t>
            </w:r>
            <w:r>
              <w:rPr>
                <w:rStyle w:val="41"/>
                <w:rFonts w:hint="default"/>
                <w:color w:val="000000" w:themeColor="text1"/>
                <w14:textFill>
                  <w14:solidFill>
                    <w14:schemeClr w14:val="tx1"/>
                  </w14:solidFill>
                </w14:textFill>
              </w:rPr>
              <w:t>口旧</w:t>
            </w:r>
            <w:r>
              <w:rPr>
                <w:rStyle w:val="40"/>
                <w:rFonts w:hint="default"/>
                <w:color w:val="000000" w:themeColor="text1"/>
                <w14:textFill>
                  <w14:solidFill>
                    <w14:schemeClr w14:val="tx1"/>
                  </w14:solidFill>
                </w14:textFill>
              </w:rPr>
              <w:t>阀</w:t>
            </w:r>
          </w:p>
        </w:tc>
      </w:tr>
      <w:tr>
        <w:tblPrEx>
          <w:tblCellMar>
            <w:top w:w="0" w:type="dxa"/>
            <w:left w:w="108" w:type="dxa"/>
            <w:bottom w:w="0" w:type="dxa"/>
            <w:right w:w="108" w:type="dxa"/>
          </w:tblCellMar>
        </w:tblPrEx>
        <w:trPr>
          <w:trHeight w:val="285" w:hRule="atLeast"/>
          <w:jc w:val="center"/>
        </w:trPr>
        <w:tc>
          <w:tcPr>
            <w:tcW w:w="550" w:type="dxa"/>
            <w:tcBorders>
              <w:top w:val="single" w:color="000000" w:sz="8" w:space="0"/>
              <w:left w:val="single" w:color="000000" w:sz="8" w:space="0"/>
              <w:bottom w:val="nil"/>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No.</w:t>
            </w:r>
          </w:p>
        </w:tc>
        <w:tc>
          <w:tcPr>
            <w:tcW w:w="2053" w:type="dxa"/>
            <w:tcBorders>
              <w:top w:val="nil"/>
              <w:left w:val="nil"/>
              <w:bottom w:val="nil"/>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类型</w:t>
            </w:r>
          </w:p>
        </w:tc>
        <w:tc>
          <w:tcPr>
            <w:tcW w:w="1695" w:type="dxa"/>
            <w:tcBorders>
              <w:top w:val="single" w:color="000000" w:sz="8" w:space="0"/>
              <w:left w:val="nil"/>
              <w:bottom w:val="nil"/>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规格与说明</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color w:val="000000" w:themeColor="text1"/>
                <w:sz w:val="16"/>
                <w:szCs w:val="16"/>
                <w14:textFill>
                  <w14:solidFill>
                    <w14:schemeClr w14:val="tx1"/>
                  </w14:solidFill>
                </w14:textFill>
              </w:rPr>
            </w:pP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5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2053" w:type="dxa"/>
            <w:tcBorders>
              <w:top w:val="single" w:color="000000" w:sz="8" w:space="0"/>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single" w:color="000000" w:sz="8" w:space="0"/>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color w:val="000000" w:themeColor="text1"/>
                <w:sz w:val="16"/>
                <w:szCs w:val="16"/>
                <w14:textFill>
                  <w14:solidFill>
                    <w14:schemeClr w14:val="tx1"/>
                  </w14:solidFill>
                </w14:textFill>
              </w:rPr>
            </w:pP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b/>
                <w:b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color w:val="000000" w:themeColor="text1"/>
                <w:sz w:val="16"/>
                <w:szCs w:val="16"/>
                <w14:textFill>
                  <w14:solidFill>
                    <w14:schemeClr w14:val="tx1"/>
                  </w14:solidFill>
                </w14:textFill>
              </w:rPr>
            </w:pP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jc w:val="cente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螺纹连接碳钢安全阀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w:t>
            </w:r>
          </w:p>
        </w:tc>
        <w:tc>
          <w:tcPr>
            <w:tcW w:w="1367" w:type="dxa"/>
            <w:tcBorders>
              <w:top w:val="nil"/>
              <w:left w:val="nil"/>
              <w:bottom w:val="single" w:color="000000" w:sz="8" w:space="0"/>
              <w:right w:val="single" w:color="000000" w:sz="8" w:space="0"/>
            </w:tcBorders>
            <w:shd w:val="clear" w:color="auto" w:fill="FFFFFF" w:themeFill="background1"/>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w:t>
            </w:r>
            <w:r>
              <w:rPr>
                <w:rStyle w:val="43"/>
                <w:rFonts w:hint="default"/>
                <w:color w:val="000000" w:themeColor="text1"/>
                <w14:textFill>
                  <w14:solidFill>
                    <w14:schemeClr w14:val="tx1"/>
                  </w14:solidFill>
                </w14:textFill>
              </w:rPr>
              <w:t>不锈钢安全阀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117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133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348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压力等级≤Pg30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螺纹连接碳钢安全阀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117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133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348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28</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w:t>
            </w:r>
            <w:r>
              <w:rPr>
                <w:rStyle w:val="43"/>
                <w:rFonts w:hint="default"/>
                <w:color w:val="000000" w:themeColor="text1"/>
                <w14:textFill>
                  <w14:solidFill>
                    <w14:schemeClr w14:val="tx1"/>
                  </w14:solidFill>
                </w14:textFill>
              </w:rPr>
              <w:t>接不锈钢安全阀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125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29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156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408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37</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38</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螺纹连接碳钢安全阀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133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39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47</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w:t>
            </w:r>
            <w:r>
              <w:rPr>
                <w:rStyle w:val="43"/>
                <w:rFonts w:hint="default"/>
                <w:color w:val="000000" w:themeColor="text1"/>
                <w14:textFill>
                  <w14:solidFill>
                    <w14:schemeClr w14:val="tx1"/>
                  </w14:solidFill>
                </w14:textFill>
              </w:rPr>
              <w:t>不锈钢安全阀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156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49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432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57</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螺纹连接碳钢安全阀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156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59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65</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w:t>
            </w:r>
            <w:r>
              <w:rPr>
                <w:rStyle w:val="43"/>
                <w:rFonts w:hint="default"/>
                <w:color w:val="000000" w:themeColor="text1"/>
                <w14:textFill>
                  <w14:solidFill>
                    <w14:schemeClr w14:val="tx1"/>
                  </w14:solidFill>
                </w14:textFill>
              </w:rPr>
              <w:t>不锈钢安全阀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69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444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336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516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A21-28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w:t>
            </w:r>
            <w:r>
              <w:rPr>
                <w:rStyle w:val="44"/>
                <w:color w:val="000000" w:themeColor="text1"/>
                <w14:textFill>
                  <w14:solidFill>
                    <w14:schemeClr w14:val="tx1"/>
                  </w14:solidFill>
                </w14:textFill>
              </w:rPr>
              <w:t>&gt;</w:t>
            </w:r>
            <w:r>
              <w:rPr>
                <w:rStyle w:val="45"/>
                <w:rFonts w:hint="default"/>
                <w:color w:val="000000" w:themeColor="text1"/>
                <w14:textFill>
                  <w14:solidFill>
                    <w14:schemeClr w14:val="tx1"/>
                  </w14:solidFill>
                </w14:textFill>
              </w:rPr>
              <w:t>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螺纹连接碳钢安全阀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148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79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336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516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螺纹连接</w:t>
            </w:r>
            <w:r>
              <w:rPr>
                <w:rStyle w:val="43"/>
                <w:rFonts w:hint="default"/>
                <w:color w:val="000000" w:themeColor="text1"/>
                <w14:textFill>
                  <w14:solidFill>
                    <w14:schemeClr w14:val="tx1"/>
                  </w14:solidFill>
                </w14:textFill>
              </w:rPr>
              <w:t>不锈钢安全阀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156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86</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89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336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297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456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343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528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156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99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336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432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359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400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672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压力等级≤Pg30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164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109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348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444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367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445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685</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172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119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234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360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408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297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456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375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453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697</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16"/>
                <w:szCs w:val="16"/>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129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372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304</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709</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left"/>
              <w:rPr>
                <w:rFonts w:ascii="宋体" w:hAnsi="宋体" w:cs="宋体"/>
                <w:color w:val="000000" w:themeColor="text1"/>
                <w:sz w:val="15"/>
                <w:szCs w:val="15"/>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A41-43</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w:t>
            </w:r>
            <w:r>
              <w:rPr>
                <w:rStyle w:val="44"/>
                <w:color w:val="000000" w:themeColor="text1"/>
                <w14:textFill>
                  <w14:solidFill>
                    <w14:schemeClr w14:val="tx1"/>
                  </w14:solidFill>
                </w14:textFill>
              </w:rPr>
              <w:t>&gt;</w:t>
            </w:r>
            <w:r>
              <w:rPr>
                <w:rStyle w:val="45"/>
                <w:rFonts w:hint="default"/>
                <w:color w:val="000000" w:themeColor="text1"/>
                <w14:textFill>
                  <w14:solidFill>
                    <w14:schemeClr w14:val="tx1"/>
                  </w14:solidFill>
                </w14:textFill>
              </w:rPr>
              <w:t>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139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432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721</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149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242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372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273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360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400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709</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300"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压力等级≤Pg30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187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203</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336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159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432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312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480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721</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195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300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211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348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169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258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444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612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476</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733</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16"/>
                <w:szCs w:val="16"/>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360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265</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408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179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297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456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328</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504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359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552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437</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672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500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769</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184</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jc w:val="left"/>
              <w:rPr>
                <w:rFonts w:ascii="宋体" w:hAnsi="宋体" w:cs="宋体"/>
                <w:color w:val="000000" w:themeColor="text1"/>
                <w:sz w:val="15"/>
                <w:szCs w:val="15"/>
                <w14:textFill>
                  <w14:solidFill>
                    <w14:schemeClr w14:val="tx1"/>
                  </w14:solidFill>
                </w14:textFill>
              </w:rPr>
            </w:pP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185</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A44-48</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压力等级</w:t>
            </w:r>
            <w:r>
              <w:rPr>
                <w:rStyle w:val="44"/>
                <w:color w:val="000000" w:themeColor="text1"/>
                <w14:textFill>
                  <w14:solidFill>
                    <w14:schemeClr w14:val="tx1"/>
                  </w14:solidFill>
                </w14:textFill>
              </w:rPr>
              <w:t>&gt;</w:t>
            </w:r>
            <w:r>
              <w:rPr>
                <w:rStyle w:val="45"/>
                <w:rFonts w:hint="default"/>
                <w:color w:val="000000" w:themeColor="text1"/>
                <w14:textFill>
                  <w14:solidFill>
                    <w14:schemeClr w14:val="tx1"/>
                  </w14:solidFill>
                </w14:textFill>
              </w:rPr>
              <w:t>Pg50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186</w:t>
            </w:r>
          </w:p>
        </w:tc>
        <w:tc>
          <w:tcPr>
            <w:tcW w:w="2053"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法兰连接安全阀</w:t>
            </w: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396</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187</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420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188</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DN32</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289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444</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189</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DN40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320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492</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190</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DN50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351</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540</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191</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DN60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382</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588</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192</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DN80</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460</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709</w:t>
            </w:r>
          </w:p>
        </w:tc>
      </w:tr>
      <w:tr>
        <w:tblPrEx>
          <w:tblCellMar>
            <w:top w:w="0" w:type="dxa"/>
            <w:left w:w="108" w:type="dxa"/>
            <w:bottom w:w="0" w:type="dxa"/>
            <w:right w:w="108" w:type="dxa"/>
          </w:tblCellMar>
        </w:tblPrEx>
        <w:trPr>
          <w:trHeight w:val="285" w:hRule="atLeast"/>
          <w:jc w:val="center"/>
        </w:trPr>
        <w:tc>
          <w:tcPr>
            <w:tcW w:w="550" w:type="dxa"/>
            <w:tcBorders>
              <w:top w:val="nil"/>
              <w:left w:val="single" w:color="000000" w:sz="8" w:space="0"/>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193</w:t>
            </w:r>
          </w:p>
        </w:tc>
        <w:tc>
          <w:tcPr>
            <w:tcW w:w="2053" w:type="dxa"/>
            <w:tcBorders>
              <w:top w:val="nil"/>
              <w:left w:val="nil"/>
              <w:bottom w:val="single" w:color="000000" w:sz="8" w:space="0"/>
              <w:right w:val="single" w:color="000000" w:sz="8" w:space="0"/>
            </w:tcBorders>
            <w:shd w:val="clear" w:color="auto" w:fill="auto"/>
            <w:noWrap/>
            <w:vAlign w:val="bottom"/>
          </w:tcPr>
          <w:p>
            <w:pPr>
              <w:jc w:val="center"/>
              <w:rPr>
                <w:rFonts w:ascii="宋体" w:hAnsi="宋体" w:cs="宋体"/>
                <w:color w:val="000000" w:themeColor="text1"/>
                <w:sz w:val="20"/>
                <w:szCs w:val="20"/>
                <w14:textFill>
                  <w14:solidFill>
                    <w14:schemeClr w14:val="tx1"/>
                  </w14:solidFill>
                </w14:textFill>
              </w:rPr>
            </w:pPr>
          </w:p>
        </w:tc>
        <w:tc>
          <w:tcPr>
            <w:tcW w:w="1695" w:type="dxa"/>
            <w:tcBorders>
              <w:top w:val="nil"/>
              <w:left w:val="nil"/>
              <w:bottom w:val="single" w:color="000000" w:sz="8" w:space="0"/>
              <w:right w:val="single" w:color="000000" w:sz="8" w:space="0"/>
            </w:tcBorders>
            <w:shd w:val="clear" w:color="auto" w:fill="auto"/>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80</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DN</w:t>
            </w:r>
            <w:r>
              <w:rPr>
                <w:rStyle w:val="40"/>
                <w:rFonts w:hint="default"/>
                <w:color w:val="000000" w:themeColor="text1"/>
                <w14:textFill>
                  <w14:solidFill>
                    <w14:schemeClr w14:val="tx1"/>
                  </w14:solidFill>
                </w14:textFill>
              </w:rPr>
              <w:t>&lt;</w:t>
            </w:r>
            <w:r>
              <w:rPr>
                <w:rStyle w:val="42"/>
                <w:rFonts w:ascii="宋体" w:hAnsi="宋体" w:cs="宋体"/>
                <w:color w:val="000000" w:themeColor="text1"/>
                <w:sz w:val="24"/>
                <w:szCs w:val="24"/>
                <w14:textFill>
                  <w14:solidFill>
                    <w14:schemeClr w14:val="tx1"/>
                  </w14:solidFill>
                </w14:textFill>
              </w:rPr>
              <w:t>125</w:t>
            </w:r>
          </w:p>
        </w:tc>
        <w:tc>
          <w:tcPr>
            <w:tcW w:w="1279"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539</w:t>
            </w:r>
          </w:p>
        </w:tc>
        <w:tc>
          <w:tcPr>
            <w:tcW w:w="1367" w:type="dxa"/>
            <w:tcBorders>
              <w:top w:val="nil"/>
              <w:left w:val="nil"/>
              <w:bottom w:val="single" w:color="000000" w:sz="8" w:space="0"/>
              <w:right w:val="single" w:color="000000" w:sz="8" w:space="0"/>
            </w:tcBorders>
            <w:shd w:val="clear" w:color="auto" w:fill="FFFFFF" w:themeFill="background1"/>
            <w:noWrap/>
            <w:vAlign w:val="bottom"/>
          </w:tcPr>
          <w:p>
            <w:pPr>
              <w:widowControl/>
              <w:jc w:val="center"/>
              <w:textAlignment w:val="bottom"/>
              <w:rPr>
                <w:rFonts w:ascii="Arial" w:hAnsi="Arial" w:cs="Arial"/>
                <w:color w:val="000000" w:themeColor="text1"/>
                <w:sz w:val="16"/>
                <w:szCs w:val="16"/>
                <w14:textFill>
                  <w14:solidFill>
                    <w14:schemeClr w14:val="tx1"/>
                  </w14:solidFill>
                </w14:textFill>
              </w:rPr>
            </w:pPr>
            <w:r>
              <w:rPr>
                <w:rFonts w:ascii="Arial" w:hAnsi="Arial" w:cs="Arial"/>
                <w:color w:val="000000" w:themeColor="text1"/>
                <w:kern w:val="0"/>
                <w:sz w:val="16"/>
                <w:szCs w:val="16"/>
                <w14:textFill>
                  <w14:solidFill>
                    <w14:schemeClr w14:val="tx1"/>
                  </w14:solidFill>
                </w14:textFill>
              </w:rPr>
              <w:t>829</w:t>
            </w:r>
          </w:p>
        </w:tc>
      </w:tr>
    </w:tbl>
    <w:p>
      <w:pPr>
        <w:jc w:val="left"/>
        <w:rPr>
          <w:sz w:val="20"/>
          <w:szCs w:val="20"/>
        </w:rPr>
      </w:pPr>
      <w:r>
        <w:rPr>
          <w:rFonts w:hint="eastAsia"/>
          <w:sz w:val="20"/>
          <w:szCs w:val="20"/>
        </w:rPr>
        <w:t>说明：</w:t>
      </w:r>
    </w:p>
    <w:p>
      <w:pPr>
        <w:numPr>
          <w:ilvl w:val="0"/>
          <w:numId w:val="5"/>
        </w:numPr>
        <w:jc w:val="left"/>
        <w:rPr>
          <w:sz w:val="20"/>
          <w:szCs w:val="20"/>
        </w:rPr>
      </w:pPr>
      <w:r>
        <w:rPr>
          <w:rFonts w:hint="eastAsia"/>
          <w:sz w:val="20"/>
          <w:szCs w:val="20"/>
        </w:rPr>
        <w:t>内螺纹连接安全阀计费与外螺纹一致；</w:t>
      </w:r>
    </w:p>
    <w:p>
      <w:pPr>
        <w:numPr>
          <w:ilvl w:val="0"/>
          <w:numId w:val="5"/>
        </w:numPr>
        <w:jc w:val="left"/>
        <w:rPr>
          <w:sz w:val="20"/>
          <w:szCs w:val="20"/>
        </w:rPr>
      </w:pPr>
      <w:r>
        <w:rPr>
          <w:rFonts w:hint="eastAsia"/>
          <w:sz w:val="20"/>
          <w:szCs w:val="20"/>
        </w:rPr>
        <w:t>双体安全阀按同型号二个计算；</w:t>
      </w:r>
    </w:p>
    <w:p>
      <w:pPr>
        <w:numPr>
          <w:ilvl w:val="0"/>
          <w:numId w:val="5"/>
        </w:numPr>
        <w:jc w:val="left"/>
        <w:rPr>
          <w:sz w:val="20"/>
          <w:szCs w:val="20"/>
        </w:rPr>
      </w:pPr>
      <w:r>
        <w:rPr>
          <w:rFonts w:hint="eastAsia"/>
          <w:sz w:val="20"/>
          <w:szCs w:val="20"/>
        </w:rPr>
        <w:t>DN大于等于150的口径安全阀计价可按相同规格的大于DN80单价的1.5倍计价；</w:t>
      </w:r>
    </w:p>
    <w:p>
      <w:pPr>
        <w:numPr>
          <w:ilvl w:val="0"/>
          <w:numId w:val="5"/>
        </w:numPr>
        <w:jc w:val="left"/>
        <w:rPr>
          <w:sz w:val="20"/>
          <w:szCs w:val="20"/>
        </w:rPr>
      </w:pPr>
      <w:r>
        <w:rPr>
          <w:rFonts w:hint="eastAsia"/>
          <w:sz w:val="20"/>
          <w:szCs w:val="20"/>
        </w:rPr>
        <w:t>对于DN大于等于300的特殊安全阀校验单价面议。</w:t>
      </w:r>
    </w:p>
    <w:p>
      <w:pPr>
        <w:widowControl/>
        <w:spacing w:line="240" w:lineRule="auto"/>
        <w:jc w:val="left"/>
        <w:rPr>
          <w:rFonts w:eastAsia="仿宋_GB2312"/>
          <w:b/>
        </w:rPr>
      </w:pPr>
    </w:p>
    <w:p>
      <w:pPr>
        <w:ind w:firstLine="480"/>
        <w:rPr>
          <w:rFonts w:eastAsia="仿宋_GB2312"/>
          <w:b/>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680227"/>
      <w:docPartObj>
        <w:docPartGallery w:val="autotext"/>
      </w:docPartObj>
    </w:sdtPr>
    <w:sdtContent>
      <w:sdt>
        <w:sdtPr>
          <w:id w:val="1728636285"/>
          <w:docPartObj>
            <w:docPartGallery w:val="autotext"/>
          </w:docPartObj>
        </w:sdtPr>
        <w:sdtContent>
          <w:p>
            <w:pPr>
              <w:pStyle w:val="10"/>
              <w:jc w:val="center"/>
            </w:pP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p>
        </w:sdtContent>
      </w:sdt>
    </w:sdtContent>
  </w:sdt>
  <w:p>
    <w:pPr>
      <w:pStyle w:val="10"/>
      <w:tabs>
        <w:tab w:val="left" w:pos="7472"/>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PAGE   \* MERGEFORMAT </w:instrText>
    </w:r>
    <w:r>
      <w:rPr>
        <w:rFonts w:hint="eastAsia" w:ascii="仿宋_GB2312" w:hAnsi="宋体" w:eastAsia="仿宋_GB2312"/>
        <w:sz w:val="28"/>
        <w:szCs w:val="28"/>
      </w:rPr>
      <w:fldChar w:fldCharType="separate"/>
    </w:r>
    <w:r>
      <w:rPr>
        <w:rFonts w:ascii="仿宋_GB2312" w:hAnsi="宋体" w:eastAsia="仿宋_GB2312"/>
        <w:sz w:val="28"/>
        <w:szCs w:val="28"/>
        <w:lang w:val="zh-CN"/>
      </w:rPr>
      <w:t>1</w:t>
    </w:r>
    <w:r>
      <w:rPr>
        <w:rFonts w:hint="eastAsia" w:ascii="仿宋_GB2312" w:hAnsi="宋体" w:eastAsia="仿宋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16"/>
        <w:szCs w:val="16"/>
      </w:rPr>
    </w:pPr>
    <w:r>
      <w:rPr>
        <w:rFonts w:hint="eastAsia" w:ascii="黑体" w:eastAsia="黑体"/>
        <w:b/>
        <w:sz w:val="16"/>
        <w:szCs w:val="16"/>
      </w:rPr>
      <w:t>高桥石化检维修工程预（结）算计价规定（2023）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85B02"/>
    <w:multiLevelType w:val="multilevel"/>
    <w:tmpl w:val="43985B02"/>
    <w:lvl w:ilvl="0" w:tentative="0">
      <w:start w:val="1"/>
      <w:numFmt w:val="decimal"/>
      <w:lvlText w:val="%1、"/>
      <w:lvlJc w:val="right"/>
      <w:pPr>
        <w:ind w:left="420" w:hanging="42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6D54DC"/>
    <w:multiLevelType w:val="multilevel"/>
    <w:tmpl w:val="476D54DC"/>
    <w:lvl w:ilvl="0" w:tentative="0">
      <w:start w:val="1"/>
      <w:numFmt w:val="decimal"/>
      <w:lvlText w:val="%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77D98B"/>
    <w:multiLevelType w:val="singleLevel"/>
    <w:tmpl w:val="7177D98B"/>
    <w:lvl w:ilvl="0" w:tentative="0">
      <w:start w:val="1"/>
      <w:numFmt w:val="decimal"/>
      <w:suff w:val="nothing"/>
      <w:lvlText w:val="%1、"/>
      <w:lvlJc w:val="left"/>
    </w:lvl>
  </w:abstractNum>
  <w:abstractNum w:abstractNumId="3">
    <w:nsid w:val="7716533F"/>
    <w:multiLevelType w:val="multilevel"/>
    <w:tmpl w:val="7716533F"/>
    <w:lvl w:ilvl="0" w:tentative="0">
      <w:start w:val="1"/>
      <w:numFmt w:val="decimal"/>
      <w:lvlText w:val="%1"/>
      <w:lvlJc w:val="center"/>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784A31"/>
    <w:multiLevelType w:val="multilevel"/>
    <w:tmpl w:val="7C784A3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37"/>
    <w:rsid w:val="00001163"/>
    <w:rsid w:val="00003ED9"/>
    <w:rsid w:val="000072B0"/>
    <w:rsid w:val="00012457"/>
    <w:rsid w:val="0001497A"/>
    <w:rsid w:val="00015B38"/>
    <w:rsid w:val="00020852"/>
    <w:rsid w:val="00020D07"/>
    <w:rsid w:val="00021CF5"/>
    <w:rsid w:val="00023C9B"/>
    <w:rsid w:val="00027CBA"/>
    <w:rsid w:val="00027D3F"/>
    <w:rsid w:val="00030C6A"/>
    <w:rsid w:val="00033B0F"/>
    <w:rsid w:val="0003627C"/>
    <w:rsid w:val="00040B13"/>
    <w:rsid w:val="00040B61"/>
    <w:rsid w:val="00045254"/>
    <w:rsid w:val="00045409"/>
    <w:rsid w:val="000469C9"/>
    <w:rsid w:val="00046FBE"/>
    <w:rsid w:val="00047F77"/>
    <w:rsid w:val="0005206E"/>
    <w:rsid w:val="00052B8C"/>
    <w:rsid w:val="00053AC1"/>
    <w:rsid w:val="000542FD"/>
    <w:rsid w:val="00054316"/>
    <w:rsid w:val="000612D1"/>
    <w:rsid w:val="0006170F"/>
    <w:rsid w:val="00063E14"/>
    <w:rsid w:val="000668FD"/>
    <w:rsid w:val="0008079C"/>
    <w:rsid w:val="000817F5"/>
    <w:rsid w:val="000859FB"/>
    <w:rsid w:val="00085B27"/>
    <w:rsid w:val="000867B4"/>
    <w:rsid w:val="00086CA7"/>
    <w:rsid w:val="00087C6C"/>
    <w:rsid w:val="00090F1E"/>
    <w:rsid w:val="00091AD0"/>
    <w:rsid w:val="00092820"/>
    <w:rsid w:val="00092B02"/>
    <w:rsid w:val="0009421A"/>
    <w:rsid w:val="00094805"/>
    <w:rsid w:val="00095EFA"/>
    <w:rsid w:val="00097DDA"/>
    <w:rsid w:val="000A1506"/>
    <w:rsid w:val="000A276A"/>
    <w:rsid w:val="000A34E4"/>
    <w:rsid w:val="000A4E69"/>
    <w:rsid w:val="000A7959"/>
    <w:rsid w:val="000B01CF"/>
    <w:rsid w:val="000C11D1"/>
    <w:rsid w:val="000C486F"/>
    <w:rsid w:val="000C4CD9"/>
    <w:rsid w:val="000C7E23"/>
    <w:rsid w:val="000D0905"/>
    <w:rsid w:val="000D2667"/>
    <w:rsid w:val="000D40A3"/>
    <w:rsid w:val="000D4E6B"/>
    <w:rsid w:val="000D7467"/>
    <w:rsid w:val="000D7947"/>
    <w:rsid w:val="000D7963"/>
    <w:rsid w:val="000E22C7"/>
    <w:rsid w:val="000E3FD6"/>
    <w:rsid w:val="000E3FEE"/>
    <w:rsid w:val="000E4207"/>
    <w:rsid w:val="000E4280"/>
    <w:rsid w:val="000E4E2E"/>
    <w:rsid w:val="000E4E47"/>
    <w:rsid w:val="000E7045"/>
    <w:rsid w:val="000F04CA"/>
    <w:rsid w:val="000F0896"/>
    <w:rsid w:val="000F0FD2"/>
    <w:rsid w:val="000F2622"/>
    <w:rsid w:val="000F3C19"/>
    <w:rsid w:val="000F446C"/>
    <w:rsid w:val="000F5977"/>
    <w:rsid w:val="0010003F"/>
    <w:rsid w:val="0010401E"/>
    <w:rsid w:val="001059B8"/>
    <w:rsid w:val="001062C3"/>
    <w:rsid w:val="001068A1"/>
    <w:rsid w:val="00110107"/>
    <w:rsid w:val="00117537"/>
    <w:rsid w:val="00120831"/>
    <w:rsid w:val="00120A43"/>
    <w:rsid w:val="0012120C"/>
    <w:rsid w:val="00121B97"/>
    <w:rsid w:val="00126D95"/>
    <w:rsid w:val="00130AF2"/>
    <w:rsid w:val="00130DB0"/>
    <w:rsid w:val="0013102D"/>
    <w:rsid w:val="00131255"/>
    <w:rsid w:val="00134A51"/>
    <w:rsid w:val="001400E6"/>
    <w:rsid w:val="0014356C"/>
    <w:rsid w:val="001439CC"/>
    <w:rsid w:val="00144C92"/>
    <w:rsid w:val="00144FE3"/>
    <w:rsid w:val="00146C2E"/>
    <w:rsid w:val="001475A8"/>
    <w:rsid w:val="00147B77"/>
    <w:rsid w:val="00151572"/>
    <w:rsid w:val="00151863"/>
    <w:rsid w:val="00155031"/>
    <w:rsid w:val="001559F6"/>
    <w:rsid w:val="00160700"/>
    <w:rsid w:val="00160BDC"/>
    <w:rsid w:val="00163ACB"/>
    <w:rsid w:val="001646A6"/>
    <w:rsid w:val="00174275"/>
    <w:rsid w:val="00174DDF"/>
    <w:rsid w:val="00177DB4"/>
    <w:rsid w:val="001801DF"/>
    <w:rsid w:val="001803FD"/>
    <w:rsid w:val="00180BBF"/>
    <w:rsid w:val="00181286"/>
    <w:rsid w:val="00184BEB"/>
    <w:rsid w:val="00185609"/>
    <w:rsid w:val="001859BD"/>
    <w:rsid w:val="00191282"/>
    <w:rsid w:val="00191B79"/>
    <w:rsid w:val="001952CE"/>
    <w:rsid w:val="00196E8B"/>
    <w:rsid w:val="0019797C"/>
    <w:rsid w:val="001A41BB"/>
    <w:rsid w:val="001A4264"/>
    <w:rsid w:val="001A5A01"/>
    <w:rsid w:val="001A6875"/>
    <w:rsid w:val="001A6FC9"/>
    <w:rsid w:val="001A7570"/>
    <w:rsid w:val="001A78CD"/>
    <w:rsid w:val="001A7D5C"/>
    <w:rsid w:val="001B2444"/>
    <w:rsid w:val="001B683F"/>
    <w:rsid w:val="001C00BD"/>
    <w:rsid w:val="001C3BCC"/>
    <w:rsid w:val="001C4BFB"/>
    <w:rsid w:val="001C6621"/>
    <w:rsid w:val="001C7230"/>
    <w:rsid w:val="001D1637"/>
    <w:rsid w:val="001D18F4"/>
    <w:rsid w:val="001D3723"/>
    <w:rsid w:val="001D445F"/>
    <w:rsid w:val="001D48DC"/>
    <w:rsid w:val="001D69C0"/>
    <w:rsid w:val="001E210D"/>
    <w:rsid w:val="001E2C22"/>
    <w:rsid w:val="001E396B"/>
    <w:rsid w:val="001E3ED2"/>
    <w:rsid w:val="001E4F39"/>
    <w:rsid w:val="001E5BD6"/>
    <w:rsid w:val="001E6516"/>
    <w:rsid w:val="001F51A1"/>
    <w:rsid w:val="001F6447"/>
    <w:rsid w:val="001F6CD2"/>
    <w:rsid w:val="0020001E"/>
    <w:rsid w:val="00200550"/>
    <w:rsid w:val="00202419"/>
    <w:rsid w:val="002030B7"/>
    <w:rsid w:val="002032CA"/>
    <w:rsid w:val="00203A0C"/>
    <w:rsid w:val="00203F0F"/>
    <w:rsid w:val="002056F9"/>
    <w:rsid w:val="00206C65"/>
    <w:rsid w:val="00207DCE"/>
    <w:rsid w:val="00210BF3"/>
    <w:rsid w:val="00212EF7"/>
    <w:rsid w:val="002157D5"/>
    <w:rsid w:val="002158C0"/>
    <w:rsid w:val="00217B27"/>
    <w:rsid w:val="00221B9B"/>
    <w:rsid w:val="002239D2"/>
    <w:rsid w:val="00224672"/>
    <w:rsid w:val="00224D9E"/>
    <w:rsid w:val="00225372"/>
    <w:rsid w:val="002260F3"/>
    <w:rsid w:val="0022658F"/>
    <w:rsid w:val="002265D5"/>
    <w:rsid w:val="0022704B"/>
    <w:rsid w:val="00227255"/>
    <w:rsid w:val="00227E3D"/>
    <w:rsid w:val="002309F8"/>
    <w:rsid w:val="00234D98"/>
    <w:rsid w:val="00240418"/>
    <w:rsid w:val="00241868"/>
    <w:rsid w:val="00241F5A"/>
    <w:rsid w:val="00243E1F"/>
    <w:rsid w:val="00243E4E"/>
    <w:rsid w:val="002442EE"/>
    <w:rsid w:val="00245B17"/>
    <w:rsid w:val="00250E21"/>
    <w:rsid w:val="00251C0C"/>
    <w:rsid w:val="00260CBD"/>
    <w:rsid w:val="00262435"/>
    <w:rsid w:val="0026716E"/>
    <w:rsid w:val="002738A0"/>
    <w:rsid w:val="00276F40"/>
    <w:rsid w:val="002772EE"/>
    <w:rsid w:val="00280AE5"/>
    <w:rsid w:val="00284762"/>
    <w:rsid w:val="00287638"/>
    <w:rsid w:val="00287B8F"/>
    <w:rsid w:val="00294397"/>
    <w:rsid w:val="00295FA3"/>
    <w:rsid w:val="00296F82"/>
    <w:rsid w:val="002A04AC"/>
    <w:rsid w:val="002A0BD0"/>
    <w:rsid w:val="002A25C0"/>
    <w:rsid w:val="002A4AB3"/>
    <w:rsid w:val="002A5CD3"/>
    <w:rsid w:val="002B3FF4"/>
    <w:rsid w:val="002B4FDA"/>
    <w:rsid w:val="002B6E1D"/>
    <w:rsid w:val="002B6FE9"/>
    <w:rsid w:val="002C2A44"/>
    <w:rsid w:val="002C4FB8"/>
    <w:rsid w:val="002C5558"/>
    <w:rsid w:val="002C59C6"/>
    <w:rsid w:val="002C64F0"/>
    <w:rsid w:val="002D2015"/>
    <w:rsid w:val="002D241C"/>
    <w:rsid w:val="002D32FC"/>
    <w:rsid w:val="002D46DE"/>
    <w:rsid w:val="002D5261"/>
    <w:rsid w:val="002E07F0"/>
    <w:rsid w:val="002E17B6"/>
    <w:rsid w:val="002E3A28"/>
    <w:rsid w:val="002E54AF"/>
    <w:rsid w:val="002E561B"/>
    <w:rsid w:val="002E5B4E"/>
    <w:rsid w:val="002E7C3C"/>
    <w:rsid w:val="002F050C"/>
    <w:rsid w:val="002F0AB2"/>
    <w:rsid w:val="002F542E"/>
    <w:rsid w:val="002F550B"/>
    <w:rsid w:val="002F7A60"/>
    <w:rsid w:val="003016B9"/>
    <w:rsid w:val="00304EFA"/>
    <w:rsid w:val="003061C7"/>
    <w:rsid w:val="0030643F"/>
    <w:rsid w:val="00311451"/>
    <w:rsid w:val="003126D2"/>
    <w:rsid w:val="0031299C"/>
    <w:rsid w:val="003136CC"/>
    <w:rsid w:val="00314FAE"/>
    <w:rsid w:val="003228CD"/>
    <w:rsid w:val="0032474A"/>
    <w:rsid w:val="00325BCB"/>
    <w:rsid w:val="003278C8"/>
    <w:rsid w:val="00333695"/>
    <w:rsid w:val="0033561C"/>
    <w:rsid w:val="00340C6F"/>
    <w:rsid w:val="0034135B"/>
    <w:rsid w:val="003423BF"/>
    <w:rsid w:val="003427B5"/>
    <w:rsid w:val="003437DE"/>
    <w:rsid w:val="00353374"/>
    <w:rsid w:val="003536B6"/>
    <w:rsid w:val="003555C2"/>
    <w:rsid w:val="0035798F"/>
    <w:rsid w:val="00357B30"/>
    <w:rsid w:val="0036064F"/>
    <w:rsid w:val="00362A33"/>
    <w:rsid w:val="00362BC7"/>
    <w:rsid w:val="00363159"/>
    <w:rsid w:val="00363FC6"/>
    <w:rsid w:val="00365ACF"/>
    <w:rsid w:val="0036734C"/>
    <w:rsid w:val="00373106"/>
    <w:rsid w:val="003764E3"/>
    <w:rsid w:val="003770D2"/>
    <w:rsid w:val="003826A4"/>
    <w:rsid w:val="00382778"/>
    <w:rsid w:val="00386E9F"/>
    <w:rsid w:val="00386FCD"/>
    <w:rsid w:val="00387C83"/>
    <w:rsid w:val="00391788"/>
    <w:rsid w:val="00391F62"/>
    <w:rsid w:val="00392EE1"/>
    <w:rsid w:val="00393CC9"/>
    <w:rsid w:val="00396770"/>
    <w:rsid w:val="003A06D0"/>
    <w:rsid w:val="003A1449"/>
    <w:rsid w:val="003A1CD6"/>
    <w:rsid w:val="003A1D82"/>
    <w:rsid w:val="003A2059"/>
    <w:rsid w:val="003A28A2"/>
    <w:rsid w:val="003A3D55"/>
    <w:rsid w:val="003A6C97"/>
    <w:rsid w:val="003A7467"/>
    <w:rsid w:val="003B6495"/>
    <w:rsid w:val="003B71BC"/>
    <w:rsid w:val="003B76A0"/>
    <w:rsid w:val="003B7CB7"/>
    <w:rsid w:val="003C0C4E"/>
    <w:rsid w:val="003C4D42"/>
    <w:rsid w:val="003C7468"/>
    <w:rsid w:val="003D0B1C"/>
    <w:rsid w:val="003D1A27"/>
    <w:rsid w:val="003D1DFE"/>
    <w:rsid w:val="003D3AC7"/>
    <w:rsid w:val="003D5C03"/>
    <w:rsid w:val="003D7CF2"/>
    <w:rsid w:val="003E54DB"/>
    <w:rsid w:val="003E64CD"/>
    <w:rsid w:val="003E6F16"/>
    <w:rsid w:val="003E7F2F"/>
    <w:rsid w:val="003F074B"/>
    <w:rsid w:val="003F0A0A"/>
    <w:rsid w:val="003F2F5B"/>
    <w:rsid w:val="004011D9"/>
    <w:rsid w:val="00401D37"/>
    <w:rsid w:val="00402451"/>
    <w:rsid w:val="00404F04"/>
    <w:rsid w:val="00410CDB"/>
    <w:rsid w:val="004143E1"/>
    <w:rsid w:val="004148A7"/>
    <w:rsid w:val="004245AE"/>
    <w:rsid w:val="00424C7C"/>
    <w:rsid w:val="00425267"/>
    <w:rsid w:val="00425E3F"/>
    <w:rsid w:val="00426575"/>
    <w:rsid w:val="0042760A"/>
    <w:rsid w:val="00430CB4"/>
    <w:rsid w:val="004340B8"/>
    <w:rsid w:val="0043493F"/>
    <w:rsid w:val="004355A1"/>
    <w:rsid w:val="00436291"/>
    <w:rsid w:val="00436E31"/>
    <w:rsid w:val="004400FD"/>
    <w:rsid w:val="0044088F"/>
    <w:rsid w:val="004418A2"/>
    <w:rsid w:val="00441AF5"/>
    <w:rsid w:val="0044487D"/>
    <w:rsid w:val="00445185"/>
    <w:rsid w:val="00453638"/>
    <w:rsid w:val="00454194"/>
    <w:rsid w:val="004562E0"/>
    <w:rsid w:val="00456C6D"/>
    <w:rsid w:val="00460C39"/>
    <w:rsid w:val="00463DDA"/>
    <w:rsid w:val="0046417E"/>
    <w:rsid w:val="0046447B"/>
    <w:rsid w:val="004668A9"/>
    <w:rsid w:val="00466E18"/>
    <w:rsid w:val="00466F9F"/>
    <w:rsid w:val="00472385"/>
    <w:rsid w:val="004739D6"/>
    <w:rsid w:val="004803D1"/>
    <w:rsid w:val="00482135"/>
    <w:rsid w:val="00484E3A"/>
    <w:rsid w:val="00487289"/>
    <w:rsid w:val="00487D90"/>
    <w:rsid w:val="0049414E"/>
    <w:rsid w:val="004943CF"/>
    <w:rsid w:val="004A1152"/>
    <w:rsid w:val="004A14DE"/>
    <w:rsid w:val="004A6E1A"/>
    <w:rsid w:val="004A7B68"/>
    <w:rsid w:val="004B387F"/>
    <w:rsid w:val="004B5C6E"/>
    <w:rsid w:val="004B611F"/>
    <w:rsid w:val="004B7825"/>
    <w:rsid w:val="004C120E"/>
    <w:rsid w:val="004C1DD1"/>
    <w:rsid w:val="004C2D00"/>
    <w:rsid w:val="004C5EF5"/>
    <w:rsid w:val="004C7216"/>
    <w:rsid w:val="004C74EA"/>
    <w:rsid w:val="004C7570"/>
    <w:rsid w:val="004D182D"/>
    <w:rsid w:val="004D3091"/>
    <w:rsid w:val="004D360A"/>
    <w:rsid w:val="004D39B9"/>
    <w:rsid w:val="004D5322"/>
    <w:rsid w:val="004D5B78"/>
    <w:rsid w:val="004D5ECE"/>
    <w:rsid w:val="004E0E64"/>
    <w:rsid w:val="004E116B"/>
    <w:rsid w:val="004E1926"/>
    <w:rsid w:val="004E3337"/>
    <w:rsid w:val="004E7558"/>
    <w:rsid w:val="004E76BD"/>
    <w:rsid w:val="004E7894"/>
    <w:rsid w:val="004E7A7E"/>
    <w:rsid w:val="004E7D7C"/>
    <w:rsid w:val="004F014D"/>
    <w:rsid w:val="004F4EF3"/>
    <w:rsid w:val="00500363"/>
    <w:rsid w:val="00502362"/>
    <w:rsid w:val="005030DE"/>
    <w:rsid w:val="0050456A"/>
    <w:rsid w:val="00510037"/>
    <w:rsid w:val="00516147"/>
    <w:rsid w:val="005204C3"/>
    <w:rsid w:val="005213C2"/>
    <w:rsid w:val="00524C74"/>
    <w:rsid w:val="00525CB5"/>
    <w:rsid w:val="00526026"/>
    <w:rsid w:val="0052664D"/>
    <w:rsid w:val="00527E48"/>
    <w:rsid w:val="00533434"/>
    <w:rsid w:val="005342F3"/>
    <w:rsid w:val="00535858"/>
    <w:rsid w:val="0054129C"/>
    <w:rsid w:val="005452FA"/>
    <w:rsid w:val="005467AF"/>
    <w:rsid w:val="005471AC"/>
    <w:rsid w:val="00550CC4"/>
    <w:rsid w:val="0055110F"/>
    <w:rsid w:val="00552C3B"/>
    <w:rsid w:val="00552E8C"/>
    <w:rsid w:val="0056175C"/>
    <w:rsid w:val="0056377A"/>
    <w:rsid w:val="005649F1"/>
    <w:rsid w:val="00564B76"/>
    <w:rsid w:val="00566828"/>
    <w:rsid w:val="00567001"/>
    <w:rsid w:val="00572420"/>
    <w:rsid w:val="00572771"/>
    <w:rsid w:val="00574672"/>
    <w:rsid w:val="0057527D"/>
    <w:rsid w:val="00575AEF"/>
    <w:rsid w:val="00575BA9"/>
    <w:rsid w:val="00581E27"/>
    <w:rsid w:val="00584DEF"/>
    <w:rsid w:val="00584E34"/>
    <w:rsid w:val="005854BC"/>
    <w:rsid w:val="00587B9E"/>
    <w:rsid w:val="0059065E"/>
    <w:rsid w:val="00594360"/>
    <w:rsid w:val="00595E70"/>
    <w:rsid w:val="00596610"/>
    <w:rsid w:val="00597BDA"/>
    <w:rsid w:val="005A0DE2"/>
    <w:rsid w:val="005A0FE8"/>
    <w:rsid w:val="005A2090"/>
    <w:rsid w:val="005A210C"/>
    <w:rsid w:val="005A2430"/>
    <w:rsid w:val="005B217B"/>
    <w:rsid w:val="005B39C0"/>
    <w:rsid w:val="005B3CDF"/>
    <w:rsid w:val="005B3E93"/>
    <w:rsid w:val="005C0B22"/>
    <w:rsid w:val="005C1CAE"/>
    <w:rsid w:val="005C48BB"/>
    <w:rsid w:val="005C743E"/>
    <w:rsid w:val="005D01A9"/>
    <w:rsid w:val="005D1EC0"/>
    <w:rsid w:val="005D2810"/>
    <w:rsid w:val="005D4EDE"/>
    <w:rsid w:val="005D7462"/>
    <w:rsid w:val="005E0DB6"/>
    <w:rsid w:val="005E0E5E"/>
    <w:rsid w:val="005E12F4"/>
    <w:rsid w:val="005E3A3B"/>
    <w:rsid w:val="005E417C"/>
    <w:rsid w:val="005E6105"/>
    <w:rsid w:val="005E7F3D"/>
    <w:rsid w:val="005F16BC"/>
    <w:rsid w:val="005F28A2"/>
    <w:rsid w:val="005F6FEA"/>
    <w:rsid w:val="005F711B"/>
    <w:rsid w:val="00602A05"/>
    <w:rsid w:val="00603B9F"/>
    <w:rsid w:val="006050B4"/>
    <w:rsid w:val="0060639F"/>
    <w:rsid w:val="006101E3"/>
    <w:rsid w:val="00610431"/>
    <w:rsid w:val="006138CF"/>
    <w:rsid w:val="006161F5"/>
    <w:rsid w:val="0061633F"/>
    <w:rsid w:val="00620D83"/>
    <w:rsid w:val="00622754"/>
    <w:rsid w:val="006241D9"/>
    <w:rsid w:val="00624E78"/>
    <w:rsid w:val="00625969"/>
    <w:rsid w:val="00627757"/>
    <w:rsid w:val="00627912"/>
    <w:rsid w:val="00630729"/>
    <w:rsid w:val="00632B22"/>
    <w:rsid w:val="00632B8A"/>
    <w:rsid w:val="00635318"/>
    <w:rsid w:val="0063592A"/>
    <w:rsid w:val="00635BF5"/>
    <w:rsid w:val="00635E35"/>
    <w:rsid w:val="006368DC"/>
    <w:rsid w:val="006375AA"/>
    <w:rsid w:val="00637DB0"/>
    <w:rsid w:val="006428DB"/>
    <w:rsid w:val="00644312"/>
    <w:rsid w:val="00644B69"/>
    <w:rsid w:val="00646CF1"/>
    <w:rsid w:val="00646FD5"/>
    <w:rsid w:val="00647097"/>
    <w:rsid w:val="00651C51"/>
    <w:rsid w:val="00653D32"/>
    <w:rsid w:val="006578A2"/>
    <w:rsid w:val="00657A49"/>
    <w:rsid w:val="00662DEB"/>
    <w:rsid w:val="00663B16"/>
    <w:rsid w:val="00664913"/>
    <w:rsid w:val="006709F1"/>
    <w:rsid w:val="00671E76"/>
    <w:rsid w:val="006732DA"/>
    <w:rsid w:val="006734C4"/>
    <w:rsid w:val="00673CE1"/>
    <w:rsid w:val="0067430C"/>
    <w:rsid w:val="00674970"/>
    <w:rsid w:val="00674ADF"/>
    <w:rsid w:val="00675F34"/>
    <w:rsid w:val="00676780"/>
    <w:rsid w:val="00682B1E"/>
    <w:rsid w:val="0068316E"/>
    <w:rsid w:val="006836B2"/>
    <w:rsid w:val="00683792"/>
    <w:rsid w:val="00683960"/>
    <w:rsid w:val="00683DD6"/>
    <w:rsid w:val="00685A11"/>
    <w:rsid w:val="006865B5"/>
    <w:rsid w:val="00686BA2"/>
    <w:rsid w:val="006918DE"/>
    <w:rsid w:val="00692A6C"/>
    <w:rsid w:val="00692E9D"/>
    <w:rsid w:val="00694D18"/>
    <w:rsid w:val="0069589B"/>
    <w:rsid w:val="006973A7"/>
    <w:rsid w:val="006A01BA"/>
    <w:rsid w:val="006A15D5"/>
    <w:rsid w:val="006A26F7"/>
    <w:rsid w:val="006A3B1C"/>
    <w:rsid w:val="006A55E2"/>
    <w:rsid w:val="006A59AA"/>
    <w:rsid w:val="006B1146"/>
    <w:rsid w:val="006B1AF6"/>
    <w:rsid w:val="006B46ED"/>
    <w:rsid w:val="006B4D34"/>
    <w:rsid w:val="006B4EA4"/>
    <w:rsid w:val="006B6CF1"/>
    <w:rsid w:val="006C0B8E"/>
    <w:rsid w:val="006C4A5F"/>
    <w:rsid w:val="006C4A88"/>
    <w:rsid w:val="006C62F8"/>
    <w:rsid w:val="006C77D9"/>
    <w:rsid w:val="006D0ACB"/>
    <w:rsid w:val="006D1FF9"/>
    <w:rsid w:val="006D332D"/>
    <w:rsid w:val="006D3C32"/>
    <w:rsid w:val="006D611A"/>
    <w:rsid w:val="006D6581"/>
    <w:rsid w:val="006D713C"/>
    <w:rsid w:val="006D756D"/>
    <w:rsid w:val="006D7E60"/>
    <w:rsid w:val="006E0B5F"/>
    <w:rsid w:val="006E267F"/>
    <w:rsid w:val="006E2AD1"/>
    <w:rsid w:val="006E34EB"/>
    <w:rsid w:val="006E446F"/>
    <w:rsid w:val="006E4C26"/>
    <w:rsid w:val="006E4E87"/>
    <w:rsid w:val="006E5729"/>
    <w:rsid w:val="006E5B60"/>
    <w:rsid w:val="006F07BD"/>
    <w:rsid w:val="006F0F09"/>
    <w:rsid w:val="006F32BD"/>
    <w:rsid w:val="006F58AA"/>
    <w:rsid w:val="00700722"/>
    <w:rsid w:val="00700C1F"/>
    <w:rsid w:val="00702AD7"/>
    <w:rsid w:val="00702DC3"/>
    <w:rsid w:val="00706F39"/>
    <w:rsid w:val="00710FFB"/>
    <w:rsid w:val="0071216B"/>
    <w:rsid w:val="0071307F"/>
    <w:rsid w:val="0071350C"/>
    <w:rsid w:val="00714338"/>
    <w:rsid w:val="00720C79"/>
    <w:rsid w:val="0072314B"/>
    <w:rsid w:val="0072388E"/>
    <w:rsid w:val="00725032"/>
    <w:rsid w:val="00725FDF"/>
    <w:rsid w:val="0072618D"/>
    <w:rsid w:val="00730B14"/>
    <w:rsid w:val="00732F91"/>
    <w:rsid w:val="007341DA"/>
    <w:rsid w:val="00734B54"/>
    <w:rsid w:val="007363EF"/>
    <w:rsid w:val="007366BB"/>
    <w:rsid w:val="0074054D"/>
    <w:rsid w:val="0074075D"/>
    <w:rsid w:val="00740784"/>
    <w:rsid w:val="007408AC"/>
    <w:rsid w:val="007412A4"/>
    <w:rsid w:val="00743E71"/>
    <w:rsid w:val="007454DA"/>
    <w:rsid w:val="007518D3"/>
    <w:rsid w:val="00752192"/>
    <w:rsid w:val="007525E6"/>
    <w:rsid w:val="00756305"/>
    <w:rsid w:val="00757AE6"/>
    <w:rsid w:val="00760169"/>
    <w:rsid w:val="00760A81"/>
    <w:rsid w:val="00762338"/>
    <w:rsid w:val="00763DC5"/>
    <w:rsid w:val="0076530B"/>
    <w:rsid w:val="0076558E"/>
    <w:rsid w:val="0076599F"/>
    <w:rsid w:val="007668CE"/>
    <w:rsid w:val="0077108C"/>
    <w:rsid w:val="00773F5C"/>
    <w:rsid w:val="00775F31"/>
    <w:rsid w:val="00776CB7"/>
    <w:rsid w:val="00776D42"/>
    <w:rsid w:val="00777062"/>
    <w:rsid w:val="00781B5D"/>
    <w:rsid w:val="007826A9"/>
    <w:rsid w:val="00782AE3"/>
    <w:rsid w:val="007845A1"/>
    <w:rsid w:val="0078522C"/>
    <w:rsid w:val="00794BD6"/>
    <w:rsid w:val="00794E4D"/>
    <w:rsid w:val="007A184D"/>
    <w:rsid w:val="007A3F78"/>
    <w:rsid w:val="007A577A"/>
    <w:rsid w:val="007A655F"/>
    <w:rsid w:val="007B24D7"/>
    <w:rsid w:val="007B5239"/>
    <w:rsid w:val="007B7DC0"/>
    <w:rsid w:val="007C2C9F"/>
    <w:rsid w:val="007C65B8"/>
    <w:rsid w:val="007C76C7"/>
    <w:rsid w:val="007D0881"/>
    <w:rsid w:val="007D0BC7"/>
    <w:rsid w:val="007D33FB"/>
    <w:rsid w:val="007D43B5"/>
    <w:rsid w:val="007D6022"/>
    <w:rsid w:val="007E04DD"/>
    <w:rsid w:val="007E274F"/>
    <w:rsid w:val="007E2B2F"/>
    <w:rsid w:val="007E3086"/>
    <w:rsid w:val="007E39B7"/>
    <w:rsid w:val="007F014B"/>
    <w:rsid w:val="007F04AA"/>
    <w:rsid w:val="007F3514"/>
    <w:rsid w:val="007F3E74"/>
    <w:rsid w:val="007F58FC"/>
    <w:rsid w:val="007F6048"/>
    <w:rsid w:val="007F64AE"/>
    <w:rsid w:val="00800514"/>
    <w:rsid w:val="008029A7"/>
    <w:rsid w:val="00804239"/>
    <w:rsid w:val="00805179"/>
    <w:rsid w:val="00806352"/>
    <w:rsid w:val="0081315D"/>
    <w:rsid w:val="00814289"/>
    <w:rsid w:val="0081487D"/>
    <w:rsid w:val="0081789F"/>
    <w:rsid w:val="008207B2"/>
    <w:rsid w:val="00820B52"/>
    <w:rsid w:val="00821660"/>
    <w:rsid w:val="00821875"/>
    <w:rsid w:val="00822DA1"/>
    <w:rsid w:val="0082321B"/>
    <w:rsid w:val="00823412"/>
    <w:rsid w:val="00825540"/>
    <w:rsid w:val="00827224"/>
    <w:rsid w:val="00827DCE"/>
    <w:rsid w:val="008331E3"/>
    <w:rsid w:val="00834518"/>
    <w:rsid w:val="00836C9B"/>
    <w:rsid w:val="00836E08"/>
    <w:rsid w:val="008371EC"/>
    <w:rsid w:val="0084143B"/>
    <w:rsid w:val="00841610"/>
    <w:rsid w:val="00841A31"/>
    <w:rsid w:val="00843094"/>
    <w:rsid w:val="008449B0"/>
    <w:rsid w:val="00845094"/>
    <w:rsid w:val="00845CC4"/>
    <w:rsid w:val="00845E73"/>
    <w:rsid w:val="0084629D"/>
    <w:rsid w:val="00850251"/>
    <w:rsid w:val="00850B16"/>
    <w:rsid w:val="008561CE"/>
    <w:rsid w:val="00865074"/>
    <w:rsid w:val="008659A9"/>
    <w:rsid w:val="008673AB"/>
    <w:rsid w:val="008729CC"/>
    <w:rsid w:val="00875315"/>
    <w:rsid w:val="008758FB"/>
    <w:rsid w:val="00877D9F"/>
    <w:rsid w:val="0088189F"/>
    <w:rsid w:val="008870D0"/>
    <w:rsid w:val="00890C65"/>
    <w:rsid w:val="008935EC"/>
    <w:rsid w:val="00894D15"/>
    <w:rsid w:val="00895A47"/>
    <w:rsid w:val="00897D8D"/>
    <w:rsid w:val="008A1C8C"/>
    <w:rsid w:val="008A29CE"/>
    <w:rsid w:val="008A3B4B"/>
    <w:rsid w:val="008A4EA1"/>
    <w:rsid w:val="008A6B20"/>
    <w:rsid w:val="008A7B29"/>
    <w:rsid w:val="008A7E18"/>
    <w:rsid w:val="008B2385"/>
    <w:rsid w:val="008B439D"/>
    <w:rsid w:val="008B68B6"/>
    <w:rsid w:val="008B7A4D"/>
    <w:rsid w:val="008C045C"/>
    <w:rsid w:val="008C4465"/>
    <w:rsid w:val="008C4B7D"/>
    <w:rsid w:val="008C5BC0"/>
    <w:rsid w:val="008C7F7D"/>
    <w:rsid w:val="008D0A8D"/>
    <w:rsid w:val="008D4198"/>
    <w:rsid w:val="008D5F05"/>
    <w:rsid w:val="008E0DF2"/>
    <w:rsid w:val="008E1119"/>
    <w:rsid w:val="008E17DB"/>
    <w:rsid w:val="008E2823"/>
    <w:rsid w:val="008E31B4"/>
    <w:rsid w:val="008E3377"/>
    <w:rsid w:val="008E3910"/>
    <w:rsid w:val="008E4860"/>
    <w:rsid w:val="008E6226"/>
    <w:rsid w:val="008E6D7F"/>
    <w:rsid w:val="008F1902"/>
    <w:rsid w:val="008F4620"/>
    <w:rsid w:val="008F529E"/>
    <w:rsid w:val="008F64C2"/>
    <w:rsid w:val="008F6699"/>
    <w:rsid w:val="008F757C"/>
    <w:rsid w:val="008F7BAE"/>
    <w:rsid w:val="009032E6"/>
    <w:rsid w:val="009060FA"/>
    <w:rsid w:val="00906EBE"/>
    <w:rsid w:val="00914F6A"/>
    <w:rsid w:val="0091563D"/>
    <w:rsid w:val="0091625E"/>
    <w:rsid w:val="00920946"/>
    <w:rsid w:val="00920ED5"/>
    <w:rsid w:val="009264BE"/>
    <w:rsid w:val="0092721A"/>
    <w:rsid w:val="00927A60"/>
    <w:rsid w:val="009335B3"/>
    <w:rsid w:val="00936281"/>
    <w:rsid w:val="00937ACE"/>
    <w:rsid w:val="00942947"/>
    <w:rsid w:val="00943A63"/>
    <w:rsid w:val="00943CF7"/>
    <w:rsid w:val="00944A5C"/>
    <w:rsid w:val="00944D43"/>
    <w:rsid w:val="00945558"/>
    <w:rsid w:val="009475C2"/>
    <w:rsid w:val="00953215"/>
    <w:rsid w:val="00954186"/>
    <w:rsid w:val="009569F5"/>
    <w:rsid w:val="0095733D"/>
    <w:rsid w:val="00957353"/>
    <w:rsid w:val="009638BA"/>
    <w:rsid w:val="00964535"/>
    <w:rsid w:val="009657E3"/>
    <w:rsid w:val="00966898"/>
    <w:rsid w:val="009675B7"/>
    <w:rsid w:val="009704CD"/>
    <w:rsid w:val="00970F66"/>
    <w:rsid w:val="00971C06"/>
    <w:rsid w:val="00973BDC"/>
    <w:rsid w:val="00974BCA"/>
    <w:rsid w:val="00976165"/>
    <w:rsid w:val="00976DF7"/>
    <w:rsid w:val="00981612"/>
    <w:rsid w:val="009819FE"/>
    <w:rsid w:val="00985F53"/>
    <w:rsid w:val="0098654D"/>
    <w:rsid w:val="009868A5"/>
    <w:rsid w:val="00986922"/>
    <w:rsid w:val="009933E9"/>
    <w:rsid w:val="00994DED"/>
    <w:rsid w:val="00995064"/>
    <w:rsid w:val="00995394"/>
    <w:rsid w:val="0099574E"/>
    <w:rsid w:val="009A0945"/>
    <w:rsid w:val="009A1CED"/>
    <w:rsid w:val="009A51B6"/>
    <w:rsid w:val="009A6893"/>
    <w:rsid w:val="009A6C1F"/>
    <w:rsid w:val="009B10F6"/>
    <w:rsid w:val="009B127F"/>
    <w:rsid w:val="009B2189"/>
    <w:rsid w:val="009B252A"/>
    <w:rsid w:val="009B2DC6"/>
    <w:rsid w:val="009B3817"/>
    <w:rsid w:val="009B5F2C"/>
    <w:rsid w:val="009B5FC1"/>
    <w:rsid w:val="009C18EA"/>
    <w:rsid w:val="009C2E46"/>
    <w:rsid w:val="009C308F"/>
    <w:rsid w:val="009C537A"/>
    <w:rsid w:val="009C5B54"/>
    <w:rsid w:val="009C7549"/>
    <w:rsid w:val="009C75E9"/>
    <w:rsid w:val="009C7D68"/>
    <w:rsid w:val="009D03EC"/>
    <w:rsid w:val="009D0542"/>
    <w:rsid w:val="009D1E19"/>
    <w:rsid w:val="009D3437"/>
    <w:rsid w:val="009D51C8"/>
    <w:rsid w:val="009D54EB"/>
    <w:rsid w:val="009D63BE"/>
    <w:rsid w:val="009D6799"/>
    <w:rsid w:val="009D70E6"/>
    <w:rsid w:val="009D71FF"/>
    <w:rsid w:val="009E4C5B"/>
    <w:rsid w:val="009E57E9"/>
    <w:rsid w:val="009E5CC2"/>
    <w:rsid w:val="009E64E3"/>
    <w:rsid w:val="009E65B0"/>
    <w:rsid w:val="009F410E"/>
    <w:rsid w:val="009F68DA"/>
    <w:rsid w:val="009F6A26"/>
    <w:rsid w:val="009F7AEA"/>
    <w:rsid w:val="00A0090D"/>
    <w:rsid w:val="00A0277F"/>
    <w:rsid w:val="00A02AA9"/>
    <w:rsid w:val="00A02D16"/>
    <w:rsid w:val="00A03527"/>
    <w:rsid w:val="00A03817"/>
    <w:rsid w:val="00A03ADE"/>
    <w:rsid w:val="00A05683"/>
    <w:rsid w:val="00A05F92"/>
    <w:rsid w:val="00A060F1"/>
    <w:rsid w:val="00A10CDD"/>
    <w:rsid w:val="00A11076"/>
    <w:rsid w:val="00A115A5"/>
    <w:rsid w:val="00A13055"/>
    <w:rsid w:val="00A15423"/>
    <w:rsid w:val="00A166D0"/>
    <w:rsid w:val="00A17025"/>
    <w:rsid w:val="00A21AD1"/>
    <w:rsid w:val="00A3362C"/>
    <w:rsid w:val="00A34531"/>
    <w:rsid w:val="00A34AD7"/>
    <w:rsid w:val="00A375A8"/>
    <w:rsid w:val="00A3798F"/>
    <w:rsid w:val="00A406C8"/>
    <w:rsid w:val="00A43617"/>
    <w:rsid w:val="00A45D85"/>
    <w:rsid w:val="00A50305"/>
    <w:rsid w:val="00A50929"/>
    <w:rsid w:val="00A53E2F"/>
    <w:rsid w:val="00A55206"/>
    <w:rsid w:val="00A5628F"/>
    <w:rsid w:val="00A56BDF"/>
    <w:rsid w:val="00A57E85"/>
    <w:rsid w:val="00A60EFB"/>
    <w:rsid w:val="00A62B36"/>
    <w:rsid w:val="00A67DB5"/>
    <w:rsid w:val="00A722F1"/>
    <w:rsid w:val="00A73436"/>
    <w:rsid w:val="00A737D2"/>
    <w:rsid w:val="00A769A1"/>
    <w:rsid w:val="00A76BAE"/>
    <w:rsid w:val="00A77ED3"/>
    <w:rsid w:val="00A81D3A"/>
    <w:rsid w:val="00A81E94"/>
    <w:rsid w:val="00A860D9"/>
    <w:rsid w:val="00A86852"/>
    <w:rsid w:val="00A86C91"/>
    <w:rsid w:val="00A86FEA"/>
    <w:rsid w:val="00A87171"/>
    <w:rsid w:val="00A876DF"/>
    <w:rsid w:val="00A96BCF"/>
    <w:rsid w:val="00A97489"/>
    <w:rsid w:val="00AA1100"/>
    <w:rsid w:val="00AA20D2"/>
    <w:rsid w:val="00AB10D6"/>
    <w:rsid w:val="00AB1EA6"/>
    <w:rsid w:val="00AB416F"/>
    <w:rsid w:val="00AC0635"/>
    <w:rsid w:val="00AC4428"/>
    <w:rsid w:val="00AC593A"/>
    <w:rsid w:val="00AC5B79"/>
    <w:rsid w:val="00AC7170"/>
    <w:rsid w:val="00AD078B"/>
    <w:rsid w:val="00AD0E3C"/>
    <w:rsid w:val="00AD1E61"/>
    <w:rsid w:val="00AD3E17"/>
    <w:rsid w:val="00AD50BA"/>
    <w:rsid w:val="00AD6C2D"/>
    <w:rsid w:val="00AE10B4"/>
    <w:rsid w:val="00AE147C"/>
    <w:rsid w:val="00AE3CE5"/>
    <w:rsid w:val="00AE4FEE"/>
    <w:rsid w:val="00AE602B"/>
    <w:rsid w:val="00AE6364"/>
    <w:rsid w:val="00AE69A8"/>
    <w:rsid w:val="00AE6C84"/>
    <w:rsid w:val="00AF05C1"/>
    <w:rsid w:val="00AF0E6D"/>
    <w:rsid w:val="00AF3699"/>
    <w:rsid w:val="00AF784A"/>
    <w:rsid w:val="00B01C6D"/>
    <w:rsid w:val="00B05DB2"/>
    <w:rsid w:val="00B066B5"/>
    <w:rsid w:val="00B071A3"/>
    <w:rsid w:val="00B115D3"/>
    <w:rsid w:val="00B11926"/>
    <w:rsid w:val="00B1193A"/>
    <w:rsid w:val="00B1212C"/>
    <w:rsid w:val="00B15DBB"/>
    <w:rsid w:val="00B17D13"/>
    <w:rsid w:val="00B20FDD"/>
    <w:rsid w:val="00B21FF7"/>
    <w:rsid w:val="00B253C0"/>
    <w:rsid w:val="00B2656A"/>
    <w:rsid w:val="00B26B78"/>
    <w:rsid w:val="00B26BE2"/>
    <w:rsid w:val="00B2754C"/>
    <w:rsid w:val="00B2769D"/>
    <w:rsid w:val="00B301F5"/>
    <w:rsid w:val="00B30A4C"/>
    <w:rsid w:val="00B31C6D"/>
    <w:rsid w:val="00B32D01"/>
    <w:rsid w:val="00B32FA8"/>
    <w:rsid w:val="00B335A9"/>
    <w:rsid w:val="00B33904"/>
    <w:rsid w:val="00B35015"/>
    <w:rsid w:val="00B44474"/>
    <w:rsid w:val="00B47FB4"/>
    <w:rsid w:val="00B519EE"/>
    <w:rsid w:val="00B53DCA"/>
    <w:rsid w:val="00B54D4C"/>
    <w:rsid w:val="00B5525F"/>
    <w:rsid w:val="00B56F12"/>
    <w:rsid w:val="00B57AE3"/>
    <w:rsid w:val="00B64B4C"/>
    <w:rsid w:val="00B66F57"/>
    <w:rsid w:val="00B674DF"/>
    <w:rsid w:val="00B70237"/>
    <w:rsid w:val="00B711C4"/>
    <w:rsid w:val="00B7128F"/>
    <w:rsid w:val="00B72BD6"/>
    <w:rsid w:val="00B801C7"/>
    <w:rsid w:val="00B83A3D"/>
    <w:rsid w:val="00B83DAF"/>
    <w:rsid w:val="00B86551"/>
    <w:rsid w:val="00B90084"/>
    <w:rsid w:val="00B91BAE"/>
    <w:rsid w:val="00B94592"/>
    <w:rsid w:val="00B9461E"/>
    <w:rsid w:val="00B96C0F"/>
    <w:rsid w:val="00BA10F4"/>
    <w:rsid w:val="00BA1AF5"/>
    <w:rsid w:val="00BA39FC"/>
    <w:rsid w:val="00BA7C69"/>
    <w:rsid w:val="00BB03C2"/>
    <w:rsid w:val="00BB14A1"/>
    <w:rsid w:val="00BB3BC3"/>
    <w:rsid w:val="00BB3C6E"/>
    <w:rsid w:val="00BB5038"/>
    <w:rsid w:val="00BC115C"/>
    <w:rsid w:val="00BC1FB2"/>
    <w:rsid w:val="00BC3A18"/>
    <w:rsid w:val="00BC445D"/>
    <w:rsid w:val="00BD00CC"/>
    <w:rsid w:val="00BD0405"/>
    <w:rsid w:val="00BD052D"/>
    <w:rsid w:val="00BD1943"/>
    <w:rsid w:val="00BD36F0"/>
    <w:rsid w:val="00BD4F8D"/>
    <w:rsid w:val="00BD6BE0"/>
    <w:rsid w:val="00BE04A8"/>
    <w:rsid w:val="00BE1C89"/>
    <w:rsid w:val="00BE35F8"/>
    <w:rsid w:val="00BE3D0F"/>
    <w:rsid w:val="00BE6325"/>
    <w:rsid w:val="00BE770C"/>
    <w:rsid w:val="00BF0D8D"/>
    <w:rsid w:val="00BF1043"/>
    <w:rsid w:val="00BF2CCD"/>
    <w:rsid w:val="00BF463E"/>
    <w:rsid w:val="00BF6999"/>
    <w:rsid w:val="00C00BB3"/>
    <w:rsid w:val="00C014EF"/>
    <w:rsid w:val="00C01E1F"/>
    <w:rsid w:val="00C045C2"/>
    <w:rsid w:val="00C046B9"/>
    <w:rsid w:val="00C04E71"/>
    <w:rsid w:val="00C05BE5"/>
    <w:rsid w:val="00C113DA"/>
    <w:rsid w:val="00C11552"/>
    <w:rsid w:val="00C1204E"/>
    <w:rsid w:val="00C12CD9"/>
    <w:rsid w:val="00C15464"/>
    <w:rsid w:val="00C157B3"/>
    <w:rsid w:val="00C15BD7"/>
    <w:rsid w:val="00C15E48"/>
    <w:rsid w:val="00C17924"/>
    <w:rsid w:val="00C20D29"/>
    <w:rsid w:val="00C211F3"/>
    <w:rsid w:val="00C21682"/>
    <w:rsid w:val="00C24C26"/>
    <w:rsid w:val="00C24D6E"/>
    <w:rsid w:val="00C25358"/>
    <w:rsid w:val="00C26BF1"/>
    <w:rsid w:val="00C270BE"/>
    <w:rsid w:val="00C27840"/>
    <w:rsid w:val="00C3143F"/>
    <w:rsid w:val="00C31A8C"/>
    <w:rsid w:val="00C32118"/>
    <w:rsid w:val="00C32B25"/>
    <w:rsid w:val="00C32C03"/>
    <w:rsid w:val="00C32D90"/>
    <w:rsid w:val="00C3584A"/>
    <w:rsid w:val="00C37A75"/>
    <w:rsid w:val="00C37E66"/>
    <w:rsid w:val="00C40785"/>
    <w:rsid w:val="00C44C22"/>
    <w:rsid w:val="00C523BB"/>
    <w:rsid w:val="00C5694B"/>
    <w:rsid w:val="00C5787C"/>
    <w:rsid w:val="00C57E74"/>
    <w:rsid w:val="00C6090D"/>
    <w:rsid w:val="00C60A8E"/>
    <w:rsid w:val="00C61B75"/>
    <w:rsid w:val="00C61DAA"/>
    <w:rsid w:val="00C6289D"/>
    <w:rsid w:val="00C63372"/>
    <w:rsid w:val="00C67949"/>
    <w:rsid w:val="00C67A27"/>
    <w:rsid w:val="00C74264"/>
    <w:rsid w:val="00C74960"/>
    <w:rsid w:val="00C77576"/>
    <w:rsid w:val="00C825F7"/>
    <w:rsid w:val="00C83FAF"/>
    <w:rsid w:val="00C84EC2"/>
    <w:rsid w:val="00C84FBC"/>
    <w:rsid w:val="00C93468"/>
    <w:rsid w:val="00C97C5A"/>
    <w:rsid w:val="00CA0ABC"/>
    <w:rsid w:val="00CA20E1"/>
    <w:rsid w:val="00CA286E"/>
    <w:rsid w:val="00CA37DF"/>
    <w:rsid w:val="00CA5C2B"/>
    <w:rsid w:val="00CA68EE"/>
    <w:rsid w:val="00CA6BCB"/>
    <w:rsid w:val="00CA709D"/>
    <w:rsid w:val="00CB3AF5"/>
    <w:rsid w:val="00CB4430"/>
    <w:rsid w:val="00CB5C46"/>
    <w:rsid w:val="00CB6046"/>
    <w:rsid w:val="00CB67F0"/>
    <w:rsid w:val="00CB6BDA"/>
    <w:rsid w:val="00CC1B05"/>
    <w:rsid w:val="00CC3586"/>
    <w:rsid w:val="00CC4F0D"/>
    <w:rsid w:val="00CD1529"/>
    <w:rsid w:val="00CD168E"/>
    <w:rsid w:val="00CD3699"/>
    <w:rsid w:val="00CD5C68"/>
    <w:rsid w:val="00CD6F95"/>
    <w:rsid w:val="00CD7339"/>
    <w:rsid w:val="00CE03AD"/>
    <w:rsid w:val="00CE18D7"/>
    <w:rsid w:val="00CE302A"/>
    <w:rsid w:val="00CE37AF"/>
    <w:rsid w:val="00CE3CB6"/>
    <w:rsid w:val="00CE6053"/>
    <w:rsid w:val="00CE617A"/>
    <w:rsid w:val="00CF0A9D"/>
    <w:rsid w:val="00CF107C"/>
    <w:rsid w:val="00CF2255"/>
    <w:rsid w:val="00CF5BA9"/>
    <w:rsid w:val="00CF6557"/>
    <w:rsid w:val="00CF7488"/>
    <w:rsid w:val="00D0213A"/>
    <w:rsid w:val="00D03EA4"/>
    <w:rsid w:val="00D0421B"/>
    <w:rsid w:val="00D06A99"/>
    <w:rsid w:val="00D06CAC"/>
    <w:rsid w:val="00D0792F"/>
    <w:rsid w:val="00D07A04"/>
    <w:rsid w:val="00D07C5D"/>
    <w:rsid w:val="00D07E56"/>
    <w:rsid w:val="00D12897"/>
    <w:rsid w:val="00D1317B"/>
    <w:rsid w:val="00D20CD4"/>
    <w:rsid w:val="00D21D93"/>
    <w:rsid w:val="00D22692"/>
    <w:rsid w:val="00D2326B"/>
    <w:rsid w:val="00D23972"/>
    <w:rsid w:val="00D3035F"/>
    <w:rsid w:val="00D304F5"/>
    <w:rsid w:val="00D308EE"/>
    <w:rsid w:val="00D30D4C"/>
    <w:rsid w:val="00D33C4B"/>
    <w:rsid w:val="00D3400C"/>
    <w:rsid w:val="00D36FC7"/>
    <w:rsid w:val="00D40294"/>
    <w:rsid w:val="00D403B0"/>
    <w:rsid w:val="00D4267D"/>
    <w:rsid w:val="00D43723"/>
    <w:rsid w:val="00D44201"/>
    <w:rsid w:val="00D455E8"/>
    <w:rsid w:val="00D51AFB"/>
    <w:rsid w:val="00D523D2"/>
    <w:rsid w:val="00D52C5E"/>
    <w:rsid w:val="00D55B0B"/>
    <w:rsid w:val="00D6015B"/>
    <w:rsid w:val="00D61613"/>
    <w:rsid w:val="00D64BD7"/>
    <w:rsid w:val="00D654EE"/>
    <w:rsid w:val="00D6627A"/>
    <w:rsid w:val="00D66781"/>
    <w:rsid w:val="00D66BB4"/>
    <w:rsid w:val="00D73820"/>
    <w:rsid w:val="00D7718F"/>
    <w:rsid w:val="00D771B7"/>
    <w:rsid w:val="00D805F5"/>
    <w:rsid w:val="00D80CFE"/>
    <w:rsid w:val="00D851D4"/>
    <w:rsid w:val="00D8538B"/>
    <w:rsid w:val="00D859F8"/>
    <w:rsid w:val="00D8611D"/>
    <w:rsid w:val="00D863B4"/>
    <w:rsid w:val="00D8684C"/>
    <w:rsid w:val="00D870DC"/>
    <w:rsid w:val="00D90AFE"/>
    <w:rsid w:val="00D91898"/>
    <w:rsid w:val="00D93A82"/>
    <w:rsid w:val="00D93BF5"/>
    <w:rsid w:val="00D9429C"/>
    <w:rsid w:val="00D95E0D"/>
    <w:rsid w:val="00D9645D"/>
    <w:rsid w:val="00DA257D"/>
    <w:rsid w:val="00DA42F7"/>
    <w:rsid w:val="00DA43DB"/>
    <w:rsid w:val="00DA4D1D"/>
    <w:rsid w:val="00DA5623"/>
    <w:rsid w:val="00DA5922"/>
    <w:rsid w:val="00DB4EEE"/>
    <w:rsid w:val="00DB68D9"/>
    <w:rsid w:val="00DB7485"/>
    <w:rsid w:val="00DB7893"/>
    <w:rsid w:val="00DC413B"/>
    <w:rsid w:val="00DC4CDE"/>
    <w:rsid w:val="00DC63AB"/>
    <w:rsid w:val="00DC63BF"/>
    <w:rsid w:val="00DC7940"/>
    <w:rsid w:val="00DD100D"/>
    <w:rsid w:val="00DE03E1"/>
    <w:rsid w:val="00DE3E0E"/>
    <w:rsid w:val="00DE59B6"/>
    <w:rsid w:val="00DE6127"/>
    <w:rsid w:val="00DF13B6"/>
    <w:rsid w:val="00DF3172"/>
    <w:rsid w:val="00DF5758"/>
    <w:rsid w:val="00E01C73"/>
    <w:rsid w:val="00E0407A"/>
    <w:rsid w:val="00E044E3"/>
    <w:rsid w:val="00E0495F"/>
    <w:rsid w:val="00E06BE2"/>
    <w:rsid w:val="00E06EE1"/>
    <w:rsid w:val="00E135C7"/>
    <w:rsid w:val="00E137AE"/>
    <w:rsid w:val="00E1394F"/>
    <w:rsid w:val="00E13C91"/>
    <w:rsid w:val="00E14F45"/>
    <w:rsid w:val="00E15638"/>
    <w:rsid w:val="00E15B8D"/>
    <w:rsid w:val="00E16CC3"/>
    <w:rsid w:val="00E171B9"/>
    <w:rsid w:val="00E17957"/>
    <w:rsid w:val="00E17D3D"/>
    <w:rsid w:val="00E271B9"/>
    <w:rsid w:val="00E3184C"/>
    <w:rsid w:val="00E33781"/>
    <w:rsid w:val="00E35076"/>
    <w:rsid w:val="00E36C55"/>
    <w:rsid w:val="00E36D22"/>
    <w:rsid w:val="00E442EA"/>
    <w:rsid w:val="00E45ADA"/>
    <w:rsid w:val="00E468AD"/>
    <w:rsid w:val="00E47220"/>
    <w:rsid w:val="00E472E9"/>
    <w:rsid w:val="00E5295D"/>
    <w:rsid w:val="00E52976"/>
    <w:rsid w:val="00E549ED"/>
    <w:rsid w:val="00E54D78"/>
    <w:rsid w:val="00E56CA0"/>
    <w:rsid w:val="00E630AA"/>
    <w:rsid w:val="00E66642"/>
    <w:rsid w:val="00E66C36"/>
    <w:rsid w:val="00E6720A"/>
    <w:rsid w:val="00E67FD8"/>
    <w:rsid w:val="00E72BD6"/>
    <w:rsid w:val="00E72ED0"/>
    <w:rsid w:val="00E746F2"/>
    <w:rsid w:val="00E74E0A"/>
    <w:rsid w:val="00E764E0"/>
    <w:rsid w:val="00E768D0"/>
    <w:rsid w:val="00E77B48"/>
    <w:rsid w:val="00E83B0B"/>
    <w:rsid w:val="00E84DE3"/>
    <w:rsid w:val="00E85E84"/>
    <w:rsid w:val="00E86D7F"/>
    <w:rsid w:val="00E91A3F"/>
    <w:rsid w:val="00E9242A"/>
    <w:rsid w:val="00E9293E"/>
    <w:rsid w:val="00E95E39"/>
    <w:rsid w:val="00E973C4"/>
    <w:rsid w:val="00E97A48"/>
    <w:rsid w:val="00EA0A72"/>
    <w:rsid w:val="00EA2C19"/>
    <w:rsid w:val="00EA45BA"/>
    <w:rsid w:val="00EA666B"/>
    <w:rsid w:val="00EB5E84"/>
    <w:rsid w:val="00EB6ED4"/>
    <w:rsid w:val="00EC093F"/>
    <w:rsid w:val="00EC4831"/>
    <w:rsid w:val="00ED052A"/>
    <w:rsid w:val="00ED0792"/>
    <w:rsid w:val="00ED0AE7"/>
    <w:rsid w:val="00ED3E95"/>
    <w:rsid w:val="00ED5B99"/>
    <w:rsid w:val="00EE0B5B"/>
    <w:rsid w:val="00EE1B18"/>
    <w:rsid w:val="00EE20DC"/>
    <w:rsid w:val="00EE54D3"/>
    <w:rsid w:val="00EE75A9"/>
    <w:rsid w:val="00EF26AA"/>
    <w:rsid w:val="00EF550C"/>
    <w:rsid w:val="00EF5D38"/>
    <w:rsid w:val="00EF617A"/>
    <w:rsid w:val="00EF68B4"/>
    <w:rsid w:val="00EF6B17"/>
    <w:rsid w:val="00EF7BF3"/>
    <w:rsid w:val="00F00CB0"/>
    <w:rsid w:val="00F01318"/>
    <w:rsid w:val="00F040C8"/>
    <w:rsid w:val="00F0429C"/>
    <w:rsid w:val="00F0641E"/>
    <w:rsid w:val="00F06E20"/>
    <w:rsid w:val="00F070E5"/>
    <w:rsid w:val="00F1095E"/>
    <w:rsid w:val="00F12DF1"/>
    <w:rsid w:val="00F15150"/>
    <w:rsid w:val="00F151C3"/>
    <w:rsid w:val="00F15F40"/>
    <w:rsid w:val="00F21B91"/>
    <w:rsid w:val="00F23312"/>
    <w:rsid w:val="00F245C6"/>
    <w:rsid w:val="00F24BD7"/>
    <w:rsid w:val="00F24F87"/>
    <w:rsid w:val="00F2559B"/>
    <w:rsid w:val="00F27249"/>
    <w:rsid w:val="00F3291E"/>
    <w:rsid w:val="00F32C12"/>
    <w:rsid w:val="00F337C0"/>
    <w:rsid w:val="00F33E66"/>
    <w:rsid w:val="00F36774"/>
    <w:rsid w:val="00F40248"/>
    <w:rsid w:val="00F42799"/>
    <w:rsid w:val="00F444FD"/>
    <w:rsid w:val="00F44578"/>
    <w:rsid w:val="00F44898"/>
    <w:rsid w:val="00F4675F"/>
    <w:rsid w:val="00F46E69"/>
    <w:rsid w:val="00F4749F"/>
    <w:rsid w:val="00F5331F"/>
    <w:rsid w:val="00F559E1"/>
    <w:rsid w:val="00F55F85"/>
    <w:rsid w:val="00F565F1"/>
    <w:rsid w:val="00F57167"/>
    <w:rsid w:val="00F614EB"/>
    <w:rsid w:val="00F6471C"/>
    <w:rsid w:val="00F65B9E"/>
    <w:rsid w:val="00F70402"/>
    <w:rsid w:val="00F706C8"/>
    <w:rsid w:val="00F71517"/>
    <w:rsid w:val="00F72174"/>
    <w:rsid w:val="00F72257"/>
    <w:rsid w:val="00F72D52"/>
    <w:rsid w:val="00F7331E"/>
    <w:rsid w:val="00F73C6E"/>
    <w:rsid w:val="00F74671"/>
    <w:rsid w:val="00F74B7B"/>
    <w:rsid w:val="00F758EB"/>
    <w:rsid w:val="00F75D2E"/>
    <w:rsid w:val="00F76A8E"/>
    <w:rsid w:val="00F82CB3"/>
    <w:rsid w:val="00F82F69"/>
    <w:rsid w:val="00F835E2"/>
    <w:rsid w:val="00F837AF"/>
    <w:rsid w:val="00F84752"/>
    <w:rsid w:val="00F857F0"/>
    <w:rsid w:val="00F871AD"/>
    <w:rsid w:val="00F87F7E"/>
    <w:rsid w:val="00F9173A"/>
    <w:rsid w:val="00F93AE8"/>
    <w:rsid w:val="00F95236"/>
    <w:rsid w:val="00F96BEF"/>
    <w:rsid w:val="00FA0AD0"/>
    <w:rsid w:val="00FA10C8"/>
    <w:rsid w:val="00FA1498"/>
    <w:rsid w:val="00FA2106"/>
    <w:rsid w:val="00FA29F1"/>
    <w:rsid w:val="00FA48E6"/>
    <w:rsid w:val="00FA62E3"/>
    <w:rsid w:val="00FA65D5"/>
    <w:rsid w:val="00FA669E"/>
    <w:rsid w:val="00FB54D8"/>
    <w:rsid w:val="00FB6688"/>
    <w:rsid w:val="00FB7206"/>
    <w:rsid w:val="00FB7985"/>
    <w:rsid w:val="00FC12BE"/>
    <w:rsid w:val="00FC43EC"/>
    <w:rsid w:val="00FC5A94"/>
    <w:rsid w:val="00FC655A"/>
    <w:rsid w:val="00FC7DDA"/>
    <w:rsid w:val="00FD07AE"/>
    <w:rsid w:val="00FD1AE9"/>
    <w:rsid w:val="00FD26B6"/>
    <w:rsid w:val="00FD2B81"/>
    <w:rsid w:val="00FD3385"/>
    <w:rsid w:val="00FD5B28"/>
    <w:rsid w:val="00FD7113"/>
    <w:rsid w:val="00FE30D0"/>
    <w:rsid w:val="00FE3B8F"/>
    <w:rsid w:val="00FE5FF1"/>
    <w:rsid w:val="00FE62DF"/>
    <w:rsid w:val="00FE6CC0"/>
    <w:rsid w:val="00FE7976"/>
    <w:rsid w:val="00FF0CDD"/>
    <w:rsid w:val="00FF14C9"/>
    <w:rsid w:val="00FF21CF"/>
    <w:rsid w:val="00FF3AB4"/>
    <w:rsid w:val="00FF5117"/>
    <w:rsid w:val="00FF6A60"/>
    <w:rsid w:val="05A55AA0"/>
    <w:rsid w:val="07B43F79"/>
    <w:rsid w:val="08F36286"/>
    <w:rsid w:val="0A860AB4"/>
    <w:rsid w:val="0C163BDB"/>
    <w:rsid w:val="1D744A94"/>
    <w:rsid w:val="26654D29"/>
    <w:rsid w:val="294D2E7A"/>
    <w:rsid w:val="2D942E08"/>
    <w:rsid w:val="2DF35209"/>
    <w:rsid w:val="31D50226"/>
    <w:rsid w:val="32C35E27"/>
    <w:rsid w:val="3A7B36A4"/>
    <w:rsid w:val="3D280348"/>
    <w:rsid w:val="3D481A71"/>
    <w:rsid w:val="41935851"/>
    <w:rsid w:val="45361B1F"/>
    <w:rsid w:val="460A62BD"/>
    <w:rsid w:val="476218AB"/>
    <w:rsid w:val="49902CB9"/>
    <w:rsid w:val="4A2A2D1B"/>
    <w:rsid w:val="4B500DD7"/>
    <w:rsid w:val="59CF72D2"/>
    <w:rsid w:val="5C2B3587"/>
    <w:rsid w:val="5F645802"/>
    <w:rsid w:val="63015BF5"/>
    <w:rsid w:val="649C74A8"/>
    <w:rsid w:val="65674461"/>
    <w:rsid w:val="6C767DE6"/>
    <w:rsid w:val="79D8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19"/>
    <w:qFormat/>
    <w:uiPriority w:val="0"/>
    <w:pPr>
      <w:keepNext/>
      <w:keepLines/>
      <w:outlineLvl w:val="1"/>
    </w:pPr>
    <w:rPr>
      <w:rFonts w:ascii="Arial" w:hAnsi="Arial"/>
      <w:b/>
      <w:bCs/>
      <w:kern w:val="0"/>
      <w:szCs w:val="32"/>
    </w:rPr>
  </w:style>
  <w:style w:type="paragraph" w:styleId="3">
    <w:name w:val="heading 7"/>
    <w:basedOn w:val="1"/>
    <w:next w:val="1"/>
    <w:link w:val="34"/>
    <w:semiHidden/>
    <w:unhideWhenUsed/>
    <w:qFormat/>
    <w:uiPriority w:val="9"/>
    <w:pPr>
      <w:keepNext/>
      <w:keepLines/>
      <w:spacing w:before="240" w:after="64" w:line="320" w:lineRule="auto"/>
      <w:outlineLvl w:val="6"/>
    </w:pPr>
    <w:rPr>
      <w:b/>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semiHidden/>
    <w:unhideWhenUsed/>
    <w:qFormat/>
    <w:uiPriority w:val="99"/>
    <w:pPr>
      <w:jc w:val="left"/>
    </w:pPr>
  </w:style>
  <w:style w:type="paragraph" w:styleId="5">
    <w:name w:val="Body Text 3"/>
    <w:basedOn w:val="1"/>
    <w:link w:val="21"/>
    <w:qFormat/>
    <w:uiPriority w:val="99"/>
    <w:rPr>
      <w:rFonts w:ascii="宋体"/>
      <w:kern w:val="0"/>
      <w:szCs w:val="20"/>
    </w:rPr>
  </w:style>
  <w:style w:type="paragraph" w:styleId="6">
    <w:name w:val="Body Text"/>
    <w:basedOn w:val="1"/>
    <w:link w:val="27"/>
    <w:semiHidden/>
    <w:unhideWhenUsed/>
    <w:qFormat/>
    <w:uiPriority w:val="99"/>
    <w:pPr>
      <w:spacing w:after="120"/>
    </w:pPr>
  </w:style>
  <w:style w:type="paragraph" w:styleId="7">
    <w:name w:val="Body Text Indent"/>
    <w:basedOn w:val="1"/>
    <w:link w:val="33"/>
    <w:semiHidden/>
    <w:unhideWhenUsed/>
    <w:qFormat/>
    <w:uiPriority w:val="99"/>
    <w:pPr>
      <w:spacing w:after="120"/>
      <w:ind w:left="420" w:leftChars="200"/>
    </w:pPr>
  </w:style>
  <w:style w:type="paragraph" w:styleId="8">
    <w:name w:val="Plain Text"/>
    <w:basedOn w:val="1"/>
    <w:link w:val="23"/>
    <w:qFormat/>
    <w:uiPriority w:val="99"/>
    <w:rPr>
      <w:rFonts w:ascii="宋体" w:hAnsi="Courier New"/>
      <w:kern w:val="0"/>
      <w:sz w:val="20"/>
      <w:szCs w:val="21"/>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5"/>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0"/>
    <w:pPr>
      <w:widowControl/>
      <w:spacing w:before="100" w:after="100" w:line="240" w:lineRule="auto"/>
      <w:jc w:val="left"/>
    </w:pPr>
    <w:rPr>
      <w:rFonts w:ascii="Arial Unicode MS" w:hAnsi="Arial Unicode MS" w:eastAsia="Arial Unicode MS"/>
      <w:kern w:val="0"/>
      <w:szCs w:val="20"/>
    </w:rPr>
  </w:style>
  <w:style w:type="paragraph" w:styleId="13">
    <w:name w:val="annotation subject"/>
    <w:basedOn w:val="4"/>
    <w:next w:val="4"/>
    <w:link w:val="3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标题 2 Char"/>
    <w:basedOn w:val="16"/>
    <w:link w:val="2"/>
    <w:qFormat/>
    <w:uiPriority w:val="0"/>
    <w:rPr>
      <w:rFonts w:ascii="Arial" w:hAnsi="Arial" w:eastAsia="宋体" w:cs="Times New Roman"/>
      <w:b/>
      <w:bCs/>
      <w:kern w:val="0"/>
      <w:sz w:val="24"/>
      <w:szCs w:val="32"/>
    </w:rPr>
  </w:style>
  <w:style w:type="paragraph" w:customStyle="1" w:styleId="20">
    <w:name w:val="A1"/>
    <w:basedOn w:val="2"/>
    <w:qFormat/>
    <w:uiPriority w:val="0"/>
    <w:rPr>
      <w:rFonts w:ascii="宋体"/>
    </w:rPr>
  </w:style>
  <w:style w:type="character" w:customStyle="1" w:styleId="21">
    <w:name w:val="正文文本 3 Char"/>
    <w:basedOn w:val="16"/>
    <w:link w:val="5"/>
    <w:qFormat/>
    <w:uiPriority w:val="99"/>
    <w:rPr>
      <w:rFonts w:ascii="宋体" w:hAnsi="Times New Roman" w:eastAsia="宋体" w:cs="Times New Roman"/>
      <w:kern w:val="0"/>
      <w:sz w:val="24"/>
      <w:szCs w:val="20"/>
    </w:rPr>
  </w:style>
  <w:style w:type="character" w:customStyle="1" w:styleId="22">
    <w:name w:val="纯文本 Char"/>
    <w:basedOn w:val="16"/>
    <w:qFormat/>
    <w:uiPriority w:val="99"/>
    <w:rPr>
      <w:rFonts w:ascii="宋体" w:hAnsi="Courier New" w:eastAsia="宋体" w:cs="Courier New"/>
      <w:szCs w:val="21"/>
    </w:rPr>
  </w:style>
  <w:style w:type="character" w:customStyle="1" w:styleId="23">
    <w:name w:val="纯文本 Char1"/>
    <w:link w:val="8"/>
    <w:qFormat/>
    <w:uiPriority w:val="0"/>
    <w:rPr>
      <w:rFonts w:ascii="宋体" w:hAnsi="Courier New" w:eastAsia="宋体" w:cs="Times New Roman"/>
      <w:kern w:val="0"/>
      <w:sz w:val="20"/>
      <w:szCs w:val="21"/>
    </w:rPr>
  </w:style>
  <w:style w:type="character" w:customStyle="1" w:styleId="24">
    <w:name w:val="页眉 Char"/>
    <w:basedOn w:val="16"/>
    <w:link w:val="11"/>
    <w:qFormat/>
    <w:uiPriority w:val="99"/>
    <w:rPr>
      <w:rFonts w:ascii="Times New Roman" w:hAnsi="Times New Roman" w:eastAsia="宋体" w:cs="Times New Roman"/>
      <w:sz w:val="18"/>
      <w:szCs w:val="18"/>
    </w:rPr>
  </w:style>
  <w:style w:type="character" w:customStyle="1" w:styleId="25">
    <w:name w:val="页脚 Char"/>
    <w:basedOn w:val="16"/>
    <w:link w:val="10"/>
    <w:qFormat/>
    <w:uiPriority w:val="99"/>
    <w:rPr>
      <w:rFonts w:ascii="Times New Roman" w:hAnsi="Times New Roman" w:eastAsia="宋体" w:cs="Times New Roman"/>
      <w:sz w:val="18"/>
      <w:szCs w:val="18"/>
    </w:rPr>
  </w:style>
  <w:style w:type="paragraph" w:styleId="26">
    <w:name w:val="List Paragraph"/>
    <w:basedOn w:val="1"/>
    <w:qFormat/>
    <w:uiPriority w:val="34"/>
    <w:pPr>
      <w:ind w:firstLine="420" w:firstLineChars="200"/>
    </w:pPr>
  </w:style>
  <w:style w:type="character" w:customStyle="1" w:styleId="27">
    <w:name w:val="正文文本 Char"/>
    <w:basedOn w:val="16"/>
    <w:link w:val="6"/>
    <w:semiHidden/>
    <w:qFormat/>
    <w:uiPriority w:val="99"/>
    <w:rPr>
      <w:rFonts w:ascii="Times New Roman" w:hAnsi="Times New Roman" w:eastAsia="宋体" w:cs="Times New Roman"/>
      <w:sz w:val="24"/>
      <w:szCs w:val="24"/>
    </w:rPr>
  </w:style>
  <w:style w:type="character" w:customStyle="1" w:styleId="28">
    <w:name w:val="批注框文本 Char"/>
    <w:basedOn w:val="16"/>
    <w:link w:val="9"/>
    <w:semiHidden/>
    <w:qFormat/>
    <w:uiPriority w:val="99"/>
    <w:rPr>
      <w:rFonts w:ascii="Times New Roman" w:hAnsi="Times New Roman"/>
      <w:kern w:val="2"/>
      <w:sz w:val="18"/>
      <w:szCs w:val="18"/>
    </w:rPr>
  </w:style>
  <w:style w:type="paragraph" w:customStyle="1" w:styleId="2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styleId="30">
    <w:name w:val="Placeholder Text"/>
    <w:basedOn w:val="16"/>
    <w:semiHidden/>
    <w:qFormat/>
    <w:uiPriority w:val="99"/>
    <w:rPr>
      <w:color w:val="808080"/>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basedOn w:val="16"/>
    <w:link w:val="31"/>
    <w:qFormat/>
    <w:uiPriority w:val="1"/>
    <w:rPr>
      <w:sz w:val="22"/>
      <w:szCs w:val="22"/>
    </w:rPr>
  </w:style>
  <w:style w:type="character" w:customStyle="1" w:styleId="33">
    <w:name w:val="正文文本缩进 Char"/>
    <w:basedOn w:val="16"/>
    <w:link w:val="7"/>
    <w:semiHidden/>
    <w:qFormat/>
    <w:uiPriority w:val="99"/>
    <w:rPr>
      <w:rFonts w:ascii="Times New Roman" w:hAnsi="Times New Roman"/>
      <w:kern w:val="2"/>
      <w:sz w:val="24"/>
      <w:szCs w:val="24"/>
    </w:rPr>
  </w:style>
  <w:style w:type="character" w:customStyle="1" w:styleId="34">
    <w:name w:val="标题 7 Char"/>
    <w:basedOn w:val="16"/>
    <w:link w:val="3"/>
    <w:semiHidden/>
    <w:qFormat/>
    <w:uiPriority w:val="9"/>
    <w:rPr>
      <w:rFonts w:ascii="Times New Roman" w:hAnsi="Times New Roman"/>
      <w:b/>
      <w:bCs/>
      <w:kern w:val="2"/>
      <w:sz w:val="24"/>
      <w:szCs w:val="24"/>
    </w:rPr>
  </w:style>
  <w:style w:type="character" w:customStyle="1" w:styleId="35">
    <w:name w:val="批注文字 Char"/>
    <w:basedOn w:val="16"/>
    <w:link w:val="4"/>
    <w:semiHidden/>
    <w:qFormat/>
    <w:uiPriority w:val="99"/>
    <w:rPr>
      <w:rFonts w:ascii="Times New Roman" w:hAnsi="Times New Roman"/>
      <w:kern w:val="2"/>
      <w:sz w:val="24"/>
      <w:szCs w:val="24"/>
    </w:rPr>
  </w:style>
  <w:style w:type="character" w:customStyle="1" w:styleId="36">
    <w:name w:val="批注主题 Char"/>
    <w:basedOn w:val="35"/>
    <w:link w:val="13"/>
    <w:semiHidden/>
    <w:qFormat/>
    <w:uiPriority w:val="99"/>
    <w:rPr>
      <w:rFonts w:ascii="Times New Roman" w:hAnsi="Times New Roman"/>
      <w:b/>
      <w:bCs/>
      <w:kern w:val="2"/>
      <w:sz w:val="24"/>
      <w:szCs w:val="24"/>
    </w:rPr>
  </w:style>
  <w:style w:type="character" w:customStyle="1" w:styleId="37">
    <w:name w:val="font61"/>
    <w:basedOn w:val="16"/>
    <w:qFormat/>
    <w:uiPriority w:val="0"/>
    <w:rPr>
      <w:rFonts w:ascii="Arial" w:hAnsi="Arial" w:cs="Arial"/>
      <w:color w:val="000000"/>
      <w:sz w:val="20"/>
      <w:szCs w:val="20"/>
      <w:u w:val="none"/>
    </w:rPr>
  </w:style>
  <w:style w:type="character" w:customStyle="1" w:styleId="38">
    <w:name w:val="font31"/>
    <w:basedOn w:val="16"/>
    <w:qFormat/>
    <w:uiPriority w:val="0"/>
    <w:rPr>
      <w:rFonts w:hint="eastAsia" w:ascii="宋体" w:hAnsi="宋体" w:eastAsia="宋体" w:cs="宋体"/>
      <w:color w:val="000000"/>
      <w:sz w:val="24"/>
      <w:szCs w:val="24"/>
      <w:u w:val="none"/>
    </w:rPr>
  </w:style>
  <w:style w:type="character" w:customStyle="1" w:styleId="39">
    <w:name w:val="font131"/>
    <w:basedOn w:val="16"/>
    <w:qFormat/>
    <w:uiPriority w:val="0"/>
    <w:rPr>
      <w:rFonts w:hint="eastAsia" w:ascii="宋体" w:hAnsi="宋体" w:eastAsia="宋体" w:cs="宋体"/>
      <w:color w:val="FF0000"/>
      <w:sz w:val="20"/>
      <w:szCs w:val="20"/>
      <w:u w:val="none"/>
    </w:rPr>
  </w:style>
  <w:style w:type="character" w:customStyle="1" w:styleId="40">
    <w:name w:val="font01"/>
    <w:basedOn w:val="16"/>
    <w:qFormat/>
    <w:uiPriority w:val="0"/>
    <w:rPr>
      <w:rFonts w:hint="eastAsia" w:ascii="宋体" w:hAnsi="宋体" w:eastAsia="宋体" w:cs="宋体"/>
      <w:color w:val="000000"/>
      <w:sz w:val="22"/>
      <w:szCs w:val="22"/>
      <w:u w:val="none"/>
    </w:rPr>
  </w:style>
  <w:style w:type="character" w:customStyle="1" w:styleId="41">
    <w:name w:val="font71"/>
    <w:basedOn w:val="16"/>
    <w:qFormat/>
    <w:uiPriority w:val="0"/>
    <w:rPr>
      <w:rFonts w:hint="eastAsia" w:ascii="MS UI Gothic" w:hAnsi="MS UI Gothic" w:eastAsia="MS UI Gothic" w:cs="MS UI Gothic"/>
      <w:color w:val="000000"/>
      <w:sz w:val="16"/>
      <w:szCs w:val="16"/>
      <w:u w:val="none"/>
    </w:rPr>
  </w:style>
  <w:style w:type="character" w:customStyle="1" w:styleId="42">
    <w:name w:val="font122"/>
    <w:basedOn w:val="16"/>
    <w:qFormat/>
    <w:uiPriority w:val="0"/>
    <w:rPr>
      <w:rFonts w:hint="default" w:ascii="Arial" w:hAnsi="Arial" w:cs="Arial"/>
      <w:color w:val="000000"/>
      <w:sz w:val="16"/>
      <w:szCs w:val="16"/>
      <w:u w:val="none"/>
    </w:rPr>
  </w:style>
  <w:style w:type="character" w:customStyle="1" w:styleId="43">
    <w:name w:val="font51"/>
    <w:basedOn w:val="16"/>
    <w:qFormat/>
    <w:uiPriority w:val="0"/>
    <w:rPr>
      <w:rFonts w:hint="eastAsia" w:ascii="宋体" w:hAnsi="宋体" w:eastAsia="宋体" w:cs="宋体"/>
      <w:b/>
      <w:bCs/>
      <w:color w:val="000000"/>
      <w:sz w:val="24"/>
      <w:szCs w:val="24"/>
      <w:u w:val="none"/>
    </w:rPr>
  </w:style>
  <w:style w:type="character" w:customStyle="1" w:styleId="44">
    <w:name w:val="font181"/>
    <w:basedOn w:val="16"/>
    <w:qFormat/>
    <w:uiPriority w:val="0"/>
    <w:rPr>
      <w:rFonts w:ascii="Courier New" w:hAnsi="Courier New" w:cs="Courier New"/>
      <w:b/>
      <w:bCs/>
      <w:color w:val="000000"/>
      <w:sz w:val="20"/>
      <w:szCs w:val="20"/>
      <w:u w:val="none"/>
    </w:rPr>
  </w:style>
  <w:style w:type="character" w:customStyle="1" w:styleId="45">
    <w:name w:val="font101"/>
    <w:basedOn w:val="1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oter" Target="footer1.xml"/><Relationship Id="rId12" Type="http://schemas.openxmlformats.org/officeDocument/2006/relationships/numbering" Target="numbering.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6" Type="http://schemas.openxmlformats.org/officeDocument/2006/relationships/header" Target="header2.xml"/><Relationship Id="rId11"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C7FF7B-F92D-4EEF-A515-CFC58725BEDD}"/>
</file>

<file path=customXml/itemProps2.xml><?xml version="1.0" encoding="utf-8"?>
<ds:datastoreItem xmlns:ds="http://schemas.openxmlformats.org/officeDocument/2006/customXml" ds:itemID="{AB599A8C-6FC3-4E5D-83C1-29092BC5B977}"/>
</file>

<file path=customXml/itemProps3.xml><?xml version="1.0" encoding="utf-8"?>
<ds:datastoreItem xmlns:ds="http://schemas.openxmlformats.org/officeDocument/2006/customXml" ds:itemID="{C2D59E1B-8B10-407A-97EB-7C5AC02A5DD9}"/>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0563A665-B5C7-43F1-8A1C-457A8460E66B}"/>
</file>

<file path=docProps/app.xml><?xml version="1.0" encoding="utf-8"?>
<Properties xmlns="http://schemas.openxmlformats.org/officeDocument/2006/extended-properties" xmlns:vt="http://schemas.openxmlformats.org/officeDocument/2006/docPropsVTypes">
  <Template>Normal.dotm</Template>
  <Company>微软中国</Company>
  <Pages>1</Pages>
  <Words>5392</Words>
  <Characters>30741</Characters>
  <Lines>256</Lines>
  <Paragraphs>72</Paragraphs>
  <TotalTime>0</TotalTime>
  <ScaleCrop>false</ScaleCrop>
  <LinksUpToDate>false</LinksUpToDate>
  <CharactersWithSpaces>36061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蔡蓁</dc:creator>
  <cp:lastModifiedBy>杨明俊</cp:lastModifiedBy>
  <cp:revision>14</cp:revision>
  <cp:lastPrinted>2022-05-21T05:32:00Z</cp:lastPrinted>
  <dcterms:created xsi:type="dcterms:W3CDTF">2022-10-12T00:51:00Z</dcterms:created>
  <dcterms:modified xsi:type="dcterms:W3CDTF">2022-12-29T05:16:03Z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549AF32E25324478898DE0F99B26A218</vt:lpwstr>
  </property>
  <property fmtid="{D5CDD505-2E9C-101B-9397-08002B2CF9AE}" pid="4" name="ContentTypeId">
    <vt:lpwstr>0x0101000E70836B3C344840AC266AC8DA5B0D41</vt:lpwstr>
  </property>
</Properties>
</file>