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55" w:type="dxa"/>
        <w:tblInd w:w="392" w:type="dxa"/>
        <w:tblLayout w:type="fixed"/>
        <w:tblCellMar>
          <w:top w:w="0" w:type="dxa"/>
          <w:left w:w="108" w:type="dxa"/>
          <w:bottom w:w="0" w:type="dxa"/>
          <w:right w:w="108" w:type="dxa"/>
        </w:tblCellMar>
      </w:tblPr>
      <w:tblGrid>
        <w:gridCol w:w="457"/>
        <w:gridCol w:w="2143"/>
        <w:gridCol w:w="4197"/>
        <w:gridCol w:w="1760"/>
        <w:gridCol w:w="1760"/>
        <w:gridCol w:w="1760"/>
        <w:gridCol w:w="1100"/>
        <w:gridCol w:w="1978"/>
      </w:tblGrid>
      <w:tr>
        <w:tblPrEx>
          <w:tblCellMar>
            <w:top w:w="0" w:type="dxa"/>
            <w:left w:w="108" w:type="dxa"/>
            <w:bottom w:w="0" w:type="dxa"/>
            <w:right w:w="108" w:type="dxa"/>
          </w:tblCellMar>
        </w:tblPrEx>
        <w:trPr>
          <w:trHeight w:val="570" w:hRule="atLeast"/>
        </w:trPr>
        <w:tc>
          <w:tcPr>
            <w:tcW w:w="15155" w:type="dxa"/>
            <w:gridSpan w:val="8"/>
            <w:tcBorders>
              <w:top w:val="nil"/>
              <w:left w:val="nil"/>
              <w:bottom w:val="single" w:color="auto" w:sz="4" w:space="0"/>
              <w:right w:val="nil"/>
            </w:tcBorders>
            <w:vAlign w:val="center"/>
          </w:tcPr>
          <w:p>
            <w:pPr>
              <w:widowControl/>
              <w:jc w:val="center"/>
              <w:rPr>
                <w:rFonts w:ascii="宋体" w:hAnsi="宋体"/>
                <w:b/>
                <w:bCs/>
                <w:color w:val="000000"/>
                <w:kern w:val="0"/>
              </w:rPr>
            </w:pPr>
            <w:r>
              <w:rPr>
                <w:rFonts w:hint="eastAsia" w:ascii="宋体" w:hAnsi="宋体"/>
                <w:b/>
                <w:bCs/>
                <w:color w:val="000000"/>
                <w:kern w:val="0"/>
              </w:rPr>
              <w:t>竞争性选商最低价评审法评分表（否决项+商务部分）</w:t>
            </w:r>
          </w:p>
        </w:tc>
      </w:tr>
      <w:tr>
        <w:tblPrEx>
          <w:tblCellMar>
            <w:top w:w="0" w:type="dxa"/>
            <w:left w:w="108" w:type="dxa"/>
            <w:bottom w:w="0" w:type="dxa"/>
            <w:right w:w="108" w:type="dxa"/>
          </w:tblCellMar>
        </w:tblPrEx>
        <w:trPr>
          <w:trHeight w:val="555"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 xml:space="preserve"> 202</w:t>
            </w:r>
            <w:r>
              <w:rPr>
                <w:rFonts w:hint="eastAsia" w:ascii="宋体" w:hAnsi="宋体"/>
                <w:b/>
                <w:bCs/>
                <w:color w:val="000000"/>
                <w:kern w:val="0"/>
                <w:sz w:val="22"/>
                <w:szCs w:val="22"/>
                <w:lang w:val="en-US" w:eastAsia="zh-CN"/>
              </w:rPr>
              <w:t>3</w:t>
            </w:r>
            <w:r>
              <w:rPr>
                <w:rFonts w:hint="eastAsia" w:ascii="宋体" w:hAnsi="宋体"/>
                <w:b/>
                <w:bCs/>
                <w:color w:val="000000"/>
                <w:kern w:val="0"/>
                <w:sz w:val="22"/>
                <w:szCs w:val="22"/>
              </w:rPr>
              <w:t>年空气呼吸器</w:t>
            </w:r>
            <w:r>
              <w:rPr>
                <w:rFonts w:hint="eastAsia" w:ascii="宋体" w:hAnsi="宋体"/>
                <w:b/>
                <w:bCs/>
                <w:color w:val="000000"/>
                <w:kern w:val="0"/>
                <w:sz w:val="22"/>
                <w:szCs w:val="22"/>
                <w:lang w:val="en-US" w:eastAsia="zh-CN"/>
              </w:rPr>
              <w:t>技术性检测</w:t>
            </w:r>
            <w:r>
              <w:rPr>
                <w:rFonts w:hint="eastAsia" w:ascii="宋体" w:hAnsi="宋体"/>
                <w:b/>
                <w:bCs/>
                <w:color w:val="000000"/>
                <w:kern w:val="0"/>
                <w:sz w:val="22"/>
                <w:szCs w:val="22"/>
              </w:rPr>
              <w:t xml:space="preserve">                       评审人签名：</w:t>
            </w:r>
          </w:p>
        </w:tc>
      </w:tr>
      <w:tr>
        <w:tblPrEx>
          <w:tblCellMar>
            <w:top w:w="0" w:type="dxa"/>
            <w:left w:w="108" w:type="dxa"/>
            <w:bottom w:w="0" w:type="dxa"/>
            <w:right w:w="108" w:type="dxa"/>
          </w:tblCellMar>
        </w:tblPrEx>
        <w:trPr>
          <w:trHeight w:val="555"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一、否决项（出现任何一项不符合项，即否决，不得参加评审）</w:t>
            </w:r>
          </w:p>
        </w:tc>
      </w:tr>
      <w:tr>
        <w:tblPrEx>
          <w:tblCellMar>
            <w:top w:w="0" w:type="dxa"/>
            <w:left w:w="108" w:type="dxa"/>
            <w:bottom w:w="0" w:type="dxa"/>
            <w:right w:w="108" w:type="dxa"/>
          </w:tblCellMar>
        </w:tblPrEx>
        <w:trPr>
          <w:trHeight w:val="555" w:hRule="atLeast"/>
        </w:trPr>
        <w:tc>
          <w:tcPr>
            <w:tcW w:w="4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21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评分项目</w:t>
            </w:r>
          </w:p>
        </w:tc>
        <w:tc>
          <w:tcPr>
            <w:tcW w:w="41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评分标准</w:t>
            </w:r>
          </w:p>
        </w:tc>
        <w:tc>
          <w:tcPr>
            <w:tcW w:w="52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是否符合</w:t>
            </w:r>
          </w:p>
        </w:tc>
        <w:tc>
          <w:tcPr>
            <w:tcW w:w="307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备注</w:t>
            </w:r>
          </w:p>
        </w:tc>
      </w:tr>
      <w:tr>
        <w:tblPrEx>
          <w:tblCellMar>
            <w:top w:w="0" w:type="dxa"/>
            <w:left w:w="108" w:type="dxa"/>
            <w:bottom w:w="0" w:type="dxa"/>
            <w:right w:w="108" w:type="dxa"/>
          </w:tblCellMar>
        </w:tblPrEx>
        <w:trPr>
          <w:trHeight w:val="435"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4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sz w:val="21"/>
                <w:szCs w:val="21"/>
                <w:lang w:eastAsia="zh-CN"/>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sz w:val="21"/>
                <w:szCs w:val="21"/>
                <w:lang w:eastAsia="zh-CN"/>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sz w:val="21"/>
                <w:szCs w:val="21"/>
                <w:lang w:eastAsia="zh-CN"/>
                <w14:textFill>
                  <w14:solidFill>
                    <w14:schemeClr w14:val="tx1"/>
                  </w14:solidFill>
                </w14:textFill>
              </w:rPr>
            </w:pPr>
          </w:p>
          <w:p>
            <w:pPr>
              <w:widowControl/>
              <w:jc w:val="center"/>
              <w:rPr>
                <w:rFonts w:hint="eastAsia" w:ascii="宋体" w:hAnsi="宋体" w:eastAsia="宋体"/>
                <w:b/>
                <w:bCs/>
                <w:color w:val="000000" w:themeColor="text1"/>
                <w:kern w:val="0"/>
                <w:sz w:val="21"/>
                <w:szCs w:val="21"/>
                <w:lang w:eastAsia="zh-CN"/>
                <w14:textFill>
                  <w14:solidFill>
                    <w14:schemeClr w14:val="tx1"/>
                  </w14:solidFill>
                </w14:textFill>
              </w:rPr>
            </w:pPr>
          </w:p>
        </w:tc>
        <w:tc>
          <w:tcPr>
            <w:tcW w:w="3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r>
      <w:tr>
        <w:tblPrEx>
          <w:tblCellMar>
            <w:top w:w="0" w:type="dxa"/>
            <w:left w:w="108" w:type="dxa"/>
            <w:bottom w:w="0" w:type="dxa"/>
            <w:right w:w="108" w:type="dxa"/>
          </w:tblCellMar>
        </w:tblPrEx>
        <w:trPr>
          <w:trHeight w:val="1428"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1</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响应文件密封并及时送达</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响应文件密封并且未损坏，响应文件在响应有效期限内送达</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《竞争性选商响应文件寄（送）达记录》由经办人在送达时点即时记录，评审时现场出示</w:t>
            </w:r>
          </w:p>
        </w:tc>
      </w:tr>
      <w:tr>
        <w:tblPrEx>
          <w:tblCellMar>
            <w:top w:w="0" w:type="dxa"/>
            <w:left w:w="108" w:type="dxa"/>
            <w:bottom w:w="0" w:type="dxa"/>
            <w:right w:w="108" w:type="dxa"/>
          </w:tblCellMar>
        </w:tblPrEx>
        <w:trPr>
          <w:trHeight w:val="208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2</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营业执照、行业许可证书或资质证书</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按竞争性选商文件要求提供在有效期及经营范围或许可范围内的营业执照、经营许可或行业许可证书或资格、资质证书和员工资格、资质证书或操作证书的，并且所提供的资料及信息符合要求、为有效资料的；其中:分公司须出具其总部授权其参加竞争性选商的委托书</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3</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证书、资料等真实有效</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响应人声明情况属实，提供的证书、资料等没有弄虚作假</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84"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4</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严重过违法违规受到行政处罚和过错责任引发诉讼</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没有因严重违法违规行为受到行政处罚或因存在严重违约、失信等过错责任引发诉讼的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36"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5</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未被“信用中国”、“国家企业信用信息公司系统”等信用信息共享平台列入严重违法失信企业名单、失信人执行名单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732"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6</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没有在最近三年内因违法违规行为造成较大社会影响或被政府部门、行业组织等列入“黑名单”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72"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7</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没有因在中石化总部及其分子公司选商和签订、履行合同时严重违约违规等而被列入“黑名单”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696"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8</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themeColor="text1"/>
                <w:kern w:val="0"/>
                <w:sz w:val="22"/>
                <w:szCs w:val="22"/>
                <w14:textFill>
                  <w14:solidFill>
                    <w14:schemeClr w14:val="tx1"/>
                  </w14:solidFill>
                </w14:textFill>
              </w:rPr>
              <w:t>一般违法违规及失信情况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highlight w:val="yellow"/>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近三年内一般违法违规及失信的数量较少，且经分析和评审认为不存在很大的合作风险</w:t>
            </w:r>
            <w:r>
              <w:rPr>
                <w:rFonts w:hint="eastAsia" w:ascii="宋体" w:hAnsi="宋体"/>
                <w:color w:val="000000" w:themeColor="text1"/>
                <w:kern w:val="0"/>
                <w:sz w:val="22"/>
                <w:szCs w:val="22"/>
                <w14:textFill>
                  <w14:solidFill>
                    <w14:schemeClr w14:val="tx1"/>
                  </w14:solidFill>
                </w14:textFill>
              </w:rPr>
              <w:t xml:space="preserve">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20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9</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虚假竞争</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未发生负责人为同一人的不同响应人或者存在控股、管理等关联关系的不同响应人，对同一标段或者未划分标段的同一竞争性选商业务进行响应的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72"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0</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违法违规的响应</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未发生响应人有以他人的名义响应、串通响应、以行贿手段谋取成交或以其他弄虚作假方式响应的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1548"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w:t>
            </w:r>
            <w:r>
              <w:rPr>
                <w:rFonts w:hint="default" w:ascii="宋体" w:hAnsi="宋体"/>
                <w:color w:val="000000"/>
                <w:kern w:val="0"/>
                <w:sz w:val="22"/>
                <w:szCs w:val="22"/>
                <w:lang w:val="en-US"/>
              </w:rPr>
              <w:t>1</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恶性竞争</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响应人的报价明显低于其他响应人报价的或低于经测算已设定的底价，谈判小组要求其澄清时，该响应人不能合理说明或者不能提供相关证明材料，谈判小组认定该响应为恶性竞争行为的</w:t>
            </w:r>
            <w:r>
              <w:rPr>
                <w:rFonts w:hint="eastAsia" w:ascii="宋体" w:hAnsi="宋体"/>
                <w:color w:val="000000" w:themeColor="text1"/>
                <w:kern w:val="0"/>
                <w:sz w:val="22"/>
                <w:szCs w:val="22"/>
                <w:lang w:eastAsia="zh-CN"/>
                <w14:textFill>
                  <w14:solidFill>
                    <w14:schemeClr w14:val="tx1"/>
                  </w14:solidFill>
                </w14:textFill>
              </w:rPr>
              <w:t>（</w:t>
            </w:r>
            <w:r>
              <w:rPr>
                <w:rFonts w:hint="eastAsia" w:ascii="宋体" w:hAnsi="宋体"/>
                <w:color w:val="000000" w:themeColor="text1"/>
                <w:kern w:val="0"/>
                <w:sz w:val="22"/>
                <w:szCs w:val="22"/>
                <w:lang w:val="en-US" w:eastAsia="zh-CN"/>
                <w14:textFill>
                  <w14:solidFill>
                    <w14:schemeClr w14:val="tx1"/>
                  </w14:solidFill>
                </w14:textFill>
              </w:rPr>
              <w:t>合同报价不能低于指导价的60%</w:t>
            </w:r>
            <w:bookmarkStart w:id="0" w:name="_GoBack"/>
            <w:bookmarkEnd w:id="0"/>
            <w:r>
              <w:rPr>
                <w:rFonts w:hint="eastAsia" w:ascii="宋体" w:hAnsi="宋体"/>
                <w:color w:val="000000" w:themeColor="text1"/>
                <w:kern w:val="0"/>
                <w:sz w:val="22"/>
                <w:szCs w:val="22"/>
                <w:lang w:eastAsia="zh-CN"/>
                <w14:textFill>
                  <w14:solidFill>
                    <w14:schemeClr w14:val="tx1"/>
                  </w14:solidFill>
                </w14:textFill>
              </w:rPr>
              <w:t>）</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76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2</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响应文件与竞争性选商文件重大偏差</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响应文件不存在重大偏差（重大偏差是指：未对竞争性谈判文件的实质性要求和条件作出有效响应，包括A 按照竞争性谈判文件要求全面做出响应保证或做出的响应保证有较大瑕疵的；B 响应文件未经响应人盖章和响应人法定代表人（或授权委托人）签字，或虽有授权委托人签字，但授权委托书上无法定代表人签字的；C 响应文件载明的竞争性谈判业务完成期限超过了竞争性谈判文件规定期限的；D 明显不符合技术规格、技术标准要求的；E 响应文件载明的货物包装方式、检验标准和方法等不符合竞争性谈判文件要求的；F 响应文件中另行附有竞争性谈判邀请人不能接受的条件的；G 不符合竞争性谈判文件中规定的其他实质性要求的）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684"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3</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澄清、说明或者补正</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应按照要求对响应文件进行澄清、说明或者补正的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72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14</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其它</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hint="eastAsia" w:ascii="宋体" w:hAnsi="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省市场监督管理局颁发的检验检测机构资质认定证书（</w:t>
            </w:r>
            <w:r>
              <w:rPr>
                <w:rFonts w:hint="default" w:ascii="宋体" w:hAnsi="宋体"/>
                <w:color w:val="000000" w:themeColor="text1"/>
                <w:kern w:val="0"/>
                <w:sz w:val="22"/>
                <w:szCs w:val="22"/>
                <w:lang w:val="en-US" w:eastAsia="zh-CN"/>
                <w14:textFill>
                  <w14:solidFill>
                    <w14:schemeClr w14:val="tx1"/>
                  </w14:solidFill>
                </w14:textFill>
              </w:rPr>
              <w:t>CMA</w:t>
            </w:r>
            <w:r>
              <w:rPr>
                <w:rFonts w:hint="eastAsia" w:ascii="宋体" w:hAnsi="宋体"/>
                <w:color w:val="000000" w:themeColor="text1"/>
                <w:kern w:val="0"/>
                <w:sz w:val="22"/>
                <w:szCs w:val="22"/>
                <w:lang w:val="en-US" w:eastAsia="zh-CN"/>
                <w14:textFill>
                  <w14:solidFill>
                    <w14:schemeClr w14:val="tx1"/>
                  </w14:solidFill>
                </w14:textFill>
              </w:rPr>
              <w:t>资质认定证书），其检验检测能力和授权签字人在证书附表有所体现。</w:t>
            </w:r>
          </w:p>
          <w:p>
            <w:pPr>
              <w:widowControl/>
              <w:numPr>
                <w:ilvl w:val="0"/>
                <w:numId w:val="1"/>
              </w:numPr>
              <w:jc w:val="left"/>
              <w:rPr>
                <w:rFonts w:hint="default" w:ascii="宋体" w:hAnsi="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检测公司需具备相应的检验检测人员并持有相应证书（</w:t>
            </w:r>
            <w:r>
              <w:rPr>
                <w:rFonts w:hint="default" w:ascii="宋体" w:hAnsi="宋体"/>
                <w:color w:val="000000" w:themeColor="text1"/>
                <w:kern w:val="0"/>
                <w:sz w:val="22"/>
                <w:szCs w:val="22"/>
                <w:lang w:val="en-US" w:eastAsia="zh-CN"/>
                <w14:textFill>
                  <w14:solidFill>
                    <w14:schemeClr w14:val="tx1"/>
                  </w14:solidFill>
                </w14:textFill>
              </w:rPr>
              <w:t>1</w:t>
            </w:r>
            <w:r>
              <w:rPr>
                <w:rFonts w:hint="eastAsia" w:ascii="宋体" w:hAnsi="宋体"/>
                <w:color w:val="000000" w:themeColor="text1"/>
                <w:kern w:val="0"/>
                <w:sz w:val="22"/>
                <w:szCs w:val="22"/>
                <w:lang w:val="en-US" w:eastAsia="zh-CN"/>
                <w14:textFill>
                  <w14:solidFill>
                    <w14:schemeClr w14:val="tx1"/>
                  </w14:solidFill>
                </w14:textFill>
              </w:rPr>
              <w:t>、特种设备检验专业的高级工程师，</w:t>
            </w:r>
            <w:r>
              <w:rPr>
                <w:rFonts w:hint="default" w:ascii="宋体" w:hAnsi="宋体"/>
                <w:color w:val="000000" w:themeColor="text1"/>
                <w:kern w:val="0"/>
                <w:sz w:val="22"/>
                <w:szCs w:val="22"/>
                <w:lang w:val="en-US" w:eastAsia="zh-CN"/>
                <w14:textFill>
                  <w14:solidFill>
                    <w14:schemeClr w14:val="tx1"/>
                  </w14:solidFill>
                </w14:textFill>
              </w:rPr>
              <w:t>2</w:t>
            </w:r>
            <w:r>
              <w:rPr>
                <w:rFonts w:hint="eastAsia" w:ascii="宋体" w:hAnsi="宋体"/>
                <w:color w:val="000000" w:themeColor="text1"/>
                <w:kern w:val="0"/>
                <w:sz w:val="22"/>
                <w:szCs w:val="22"/>
                <w:lang w:val="en-US" w:eastAsia="zh-CN"/>
                <w14:textFill>
                  <w14:solidFill>
                    <w14:schemeClr w14:val="tx1"/>
                  </w14:solidFill>
                </w14:textFill>
              </w:rPr>
              <w:t>、压力容器检验师</w:t>
            </w:r>
            <w:r>
              <w:rPr>
                <w:rFonts w:hint="default" w:ascii="宋体" w:hAnsi="宋体"/>
                <w:color w:val="000000" w:themeColor="text1"/>
                <w:kern w:val="0"/>
                <w:sz w:val="22"/>
                <w:szCs w:val="22"/>
                <w:lang w:val="en-US" w:eastAsia="zh-CN"/>
                <w14:textFill>
                  <w14:solidFill>
                    <w14:schemeClr w14:val="tx1"/>
                  </w14:solidFill>
                </w14:textFill>
              </w:rPr>
              <w:t>3</w:t>
            </w:r>
            <w:r>
              <w:rPr>
                <w:rFonts w:hint="eastAsia" w:ascii="宋体" w:hAnsi="宋体"/>
                <w:color w:val="000000" w:themeColor="text1"/>
                <w:kern w:val="0"/>
                <w:sz w:val="22"/>
                <w:szCs w:val="22"/>
                <w:lang w:val="en-US" w:eastAsia="zh-CN"/>
                <w14:textFill>
                  <w14:solidFill>
                    <w14:schemeClr w14:val="tx1"/>
                  </w14:solidFill>
                </w14:textFill>
              </w:rPr>
              <w:t>、特种设备安全管理人员，以上特种设备检验员必须注册在公司名下）。</w:t>
            </w:r>
          </w:p>
          <w:p>
            <w:pPr>
              <w:widowControl/>
              <w:numPr>
                <w:ilvl w:val="0"/>
                <w:numId w:val="1"/>
              </w:numPr>
              <w:jc w:val="left"/>
              <w:rPr>
                <w:rFonts w:hint="default" w:ascii="宋体" w:hAnsi="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持有有效的质量、环境、职业健康安全管理体系认证证书。</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15</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报价唯一性</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商务标报价符合邀请文件格式要求，且只能有一个有效报价</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16</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报价有效性</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报价未超过方案中设定的最高限价（最高限价计算方法）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highlight w:val="yellow"/>
              </w:rPr>
            </w:pP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22"/>
                <w:szCs w:val="22"/>
              </w:rPr>
            </w:pP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b/>
                <w:bCs/>
                <w:i/>
                <w:iCs/>
                <w:color w:val="FF0000"/>
                <w:kern w:val="0"/>
                <w:sz w:val="22"/>
                <w:szCs w:val="22"/>
                <w:highlight w:val="yellow"/>
              </w:rPr>
            </w:pPr>
          </w:p>
        </w:tc>
      </w:tr>
      <w:tr>
        <w:tblPrEx>
          <w:tblCellMar>
            <w:top w:w="0" w:type="dxa"/>
            <w:left w:w="108" w:type="dxa"/>
            <w:bottom w:w="0" w:type="dxa"/>
            <w:right w:w="108" w:type="dxa"/>
          </w:tblCellMar>
        </w:tblPrEx>
        <w:trPr>
          <w:trHeight w:val="840"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numPr>
                <w:ilvl w:val="0"/>
                <w:numId w:val="2"/>
              </w:numPr>
              <w:jc w:val="left"/>
              <w:rPr>
                <w:rFonts w:hint="eastAsia" w:ascii="宋体" w:hAnsi="宋体"/>
                <w:b/>
                <w:bCs/>
                <w:color w:val="000000"/>
                <w:kern w:val="0"/>
                <w:sz w:val="22"/>
                <w:szCs w:val="22"/>
              </w:rPr>
            </w:pPr>
            <w:r>
              <w:rPr>
                <w:rFonts w:hint="eastAsia" w:ascii="宋体" w:hAnsi="宋体"/>
                <w:b/>
                <w:bCs/>
                <w:color w:val="000000"/>
                <w:kern w:val="0"/>
                <w:sz w:val="22"/>
                <w:szCs w:val="22"/>
              </w:rPr>
              <w:t>商务部分评分项：权重</w:t>
            </w:r>
            <w:r>
              <w:rPr>
                <w:rFonts w:hint="eastAsia" w:ascii="宋体" w:hAnsi="宋体"/>
                <w:b/>
                <w:bCs/>
                <w:kern w:val="0"/>
                <w:sz w:val="22"/>
                <w:szCs w:val="22"/>
              </w:rPr>
              <w:t>100%（</w:t>
            </w:r>
            <w:r>
              <w:rPr>
                <w:rFonts w:hint="eastAsia" w:ascii="宋体" w:hAnsi="宋体"/>
                <w:b/>
                <w:bCs/>
                <w:color w:val="000000"/>
                <w:kern w:val="0"/>
                <w:sz w:val="22"/>
                <w:szCs w:val="22"/>
              </w:rPr>
              <w:t>若有分项报价的，应按总价进行评审打分）</w:t>
            </w:r>
          </w:p>
          <w:p>
            <w:pPr>
              <w:widowControl/>
              <w:numPr>
                <w:ilvl w:val="0"/>
                <w:numId w:val="0"/>
              </w:numPr>
              <w:jc w:val="left"/>
              <w:rPr>
                <w:rFonts w:hint="eastAsia" w:ascii="宋体" w:hAnsi="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序号</w:t>
            </w:r>
          </w:p>
        </w:tc>
        <w:tc>
          <w:tcPr>
            <w:tcW w:w="2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评分项目</w:t>
            </w:r>
          </w:p>
        </w:tc>
        <w:tc>
          <w:tcPr>
            <w:tcW w:w="41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评分标准</w:t>
            </w:r>
          </w:p>
        </w:tc>
        <w:tc>
          <w:tcPr>
            <w:tcW w:w="52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rPr>
            </w:pPr>
            <w:r>
              <w:rPr>
                <w:rFonts w:hint="eastAsia" w:ascii="宋体" w:hAnsi="宋体"/>
                <w:b/>
                <w:bCs/>
                <w:kern w:val="0"/>
              </w:rPr>
              <w:t>实际得分</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标准分</w:t>
            </w:r>
          </w:p>
        </w:tc>
        <w:tc>
          <w:tcPr>
            <w:tcW w:w="19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备注</w:t>
            </w:r>
          </w:p>
        </w:tc>
      </w:tr>
      <w:tr>
        <w:tblPrEx>
          <w:tblCellMar>
            <w:top w:w="0" w:type="dxa"/>
            <w:left w:w="108" w:type="dxa"/>
            <w:bottom w:w="0" w:type="dxa"/>
            <w:right w:w="108" w:type="dxa"/>
          </w:tblCellMar>
        </w:tblPrEx>
        <w:trPr>
          <w:trHeight w:val="675"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4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1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r>
      <w:tr>
        <w:tblPrEx>
          <w:tblCellMar>
            <w:top w:w="0" w:type="dxa"/>
            <w:left w:w="108" w:type="dxa"/>
            <w:bottom w:w="0" w:type="dxa"/>
            <w:right w:w="108" w:type="dxa"/>
          </w:tblCellMar>
        </w:tblPrEx>
        <w:trPr>
          <w:trHeight w:val="1800"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方案一</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最低评价法</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1.响应人有效报价=最低有效评审价时：得100分；</w:t>
            </w:r>
            <w:r>
              <w:rPr>
                <w:rFonts w:hint="eastAsia" w:ascii="宋体" w:hAnsi="宋体"/>
                <w:color w:val="000000"/>
                <w:kern w:val="0"/>
                <w:sz w:val="22"/>
                <w:szCs w:val="22"/>
              </w:rPr>
              <w:br w:type="textWrapping"/>
            </w:r>
            <w:r>
              <w:rPr>
                <w:rFonts w:hint="eastAsia" w:ascii="宋体" w:hAnsi="宋体"/>
                <w:color w:val="000000"/>
                <w:kern w:val="0"/>
                <w:sz w:val="22"/>
                <w:szCs w:val="22"/>
              </w:rPr>
              <w:t>2.其余响应人得分=（最低有效评审价/该响应人有效评审价）×100</w:t>
            </w:r>
            <w:r>
              <w:rPr>
                <w:rFonts w:hint="eastAsia" w:ascii="宋体" w:hAnsi="宋体"/>
                <w:color w:val="000000"/>
                <w:kern w:val="0"/>
                <w:sz w:val="22"/>
                <w:szCs w:val="22"/>
              </w:rPr>
              <w:br w:type="textWrapping"/>
            </w:r>
            <w:r>
              <w:rPr>
                <w:rFonts w:hint="eastAsia" w:ascii="宋体" w:hAnsi="宋体"/>
                <w:color w:val="000000"/>
                <w:kern w:val="0"/>
                <w:sz w:val="22"/>
                <w:szCs w:val="22"/>
              </w:rPr>
              <w:t>3.结果保留小数点后二位。</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100</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r>
        <w:tblPrEx>
          <w:tblCellMar>
            <w:top w:w="0" w:type="dxa"/>
            <w:left w:w="108" w:type="dxa"/>
            <w:bottom w:w="0" w:type="dxa"/>
            <w:right w:w="108" w:type="dxa"/>
          </w:tblCellMar>
        </w:tblPrEx>
        <w:trPr>
          <w:trHeight w:val="70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kern w:val="0"/>
              </w:rPr>
            </w:pPr>
          </w:p>
        </w:tc>
        <w:tc>
          <w:tcPr>
            <w:tcW w:w="6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报价部分得分合计</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100</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r>
        <w:tblPrEx>
          <w:tblCellMar>
            <w:top w:w="0" w:type="dxa"/>
            <w:left w:w="108" w:type="dxa"/>
            <w:bottom w:w="0" w:type="dxa"/>
            <w:right w:w="108" w:type="dxa"/>
          </w:tblCellMar>
        </w:tblPrEx>
        <w:trPr>
          <w:trHeight w:val="70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kern w:val="0"/>
              </w:rPr>
            </w:pPr>
          </w:p>
        </w:tc>
        <w:tc>
          <w:tcPr>
            <w:tcW w:w="6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报价部分加权得分（报价部分得分合计×权重）</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bl>
    <w:p>
      <w:pPr>
        <w:rPr>
          <w:rFonts w:hint="eastAsia"/>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12BED"/>
    <w:multiLevelType w:val="singleLevel"/>
    <w:tmpl w:val="B4512BED"/>
    <w:lvl w:ilvl="0" w:tentative="0">
      <w:start w:val="1"/>
      <w:numFmt w:val="decimal"/>
      <w:suff w:val="nothing"/>
      <w:lvlText w:val="%1、"/>
      <w:lvlJc w:val="left"/>
    </w:lvl>
  </w:abstractNum>
  <w:abstractNum w:abstractNumId="1">
    <w:nsid w:val="569F1865"/>
    <w:multiLevelType w:val="singleLevel"/>
    <w:tmpl w:val="569F186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13"/>
    <w:rsid w:val="000B33EA"/>
    <w:rsid w:val="00182994"/>
    <w:rsid w:val="006F4DCE"/>
    <w:rsid w:val="00AB0513"/>
    <w:rsid w:val="00C26669"/>
    <w:rsid w:val="00DE19C7"/>
    <w:rsid w:val="1E5D6B80"/>
    <w:rsid w:val="29294204"/>
    <w:rsid w:val="307C06DF"/>
    <w:rsid w:val="455426CF"/>
    <w:rsid w:val="49AF0580"/>
    <w:rsid w:val="5B9E6298"/>
    <w:rsid w:val="6EDD7F62"/>
    <w:rsid w:val="72526E2F"/>
    <w:rsid w:val="7F78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1A0225A00E09344FAF7105F6F358F73F" ma:contentTypeVersion="1" ma:contentTypeDescription="新建文档。" ma:contentTypeScope="" ma:versionID="151873d503727f53a4a912c64d3dc4e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F44B14-0FC1-4E97-BB4A-4EC294275AC0}"/>
</file>

<file path=customXml/itemProps2.xml><?xml version="1.0" encoding="utf-8"?>
<ds:datastoreItem xmlns:ds="http://schemas.openxmlformats.org/officeDocument/2006/customXml" ds:itemID="{3557AD6E-389D-435A-ADF4-6B22734634D5}"/>
</file>

<file path=customXml/itemProps3.xml><?xml version="1.0" encoding="utf-8"?>
<ds:datastoreItem xmlns:ds="http://schemas.openxmlformats.org/officeDocument/2006/customXml" ds:itemID="{E7ACAF0C-80CF-416E-B34B-3521AC346A2E}"/>
</file>

<file path=docProps/app.xml><?xml version="1.0" encoding="utf-8"?>
<Properties xmlns="http://schemas.openxmlformats.org/officeDocument/2006/extended-properties" xmlns:vt="http://schemas.openxmlformats.org/officeDocument/2006/docPropsVTypes">
  <Template>Normal</Template>
  <Company>Sky123.Org</Company>
  <Pages>7</Pages>
  <Words>345</Words>
  <Characters>1973</Characters>
  <Lines>16</Lines>
  <Paragraphs>4</Paragraphs>
  <TotalTime>25</TotalTime>
  <ScaleCrop>false</ScaleCrop>
  <LinksUpToDate>false</LinksUpToDate>
  <CharactersWithSpaces>2314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黄晓宇</dc:creator>
  <cp:lastModifiedBy>黄晓宇</cp:lastModifiedBy>
  <cp:revision>1</cp:revision>
  <cp:lastPrinted>2022-11-24T06:20:00Z</cp:lastPrinted>
  <dcterms:created xsi:type="dcterms:W3CDTF">2022-06-15T01:28:00Z</dcterms:created>
  <dcterms:modified xsi:type="dcterms:W3CDTF">2023-10-12T00:41:51Z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5E733237C6984F8BB690D9D9CCE72984</vt:lpwstr>
  </property>
  <property fmtid="{D5CDD505-2E9C-101B-9397-08002B2CF9AE}" pid="4" name="ContentTypeId">
    <vt:lpwstr>0x0101001A0225A00E09344FAF7105F6F358F73F</vt:lpwstr>
  </property>
</Properties>
</file>